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4BE1" w14:textId="77777777" w:rsidR="00B54227" w:rsidRDefault="00190802">
      <w:pPr>
        <w:jc w:val="both"/>
      </w:pPr>
      <w:r>
        <w:rPr>
          <w:b/>
          <w:i/>
        </w:rPr>
        <w:t>Suvestinė redakcija nuo 2020-07-17</w:t>
      </w:r>
    </w:p>
    <w:p w14:paraId="40A9AA70" w14:textId="77777777" w:rsidR="00B54227" w:rsidRDefault="00B54227">
      <w:pPr>
        <w:jc w:val="both"/>
        <w:rPr>
          <w:sz w:val="20"/>
        </w:rPr>
      </w:pPr>
    </w:p>
    <w:p w14:paraId="47FC7144" w14:textId="77777777" w:rsidR="00B54227" w:rsidRDefault="00190802">
      <w:pPr>
        <w:jc w:val="both"/>
        <w:rPr>
          <w:sz w:val="20"/>
        </w:rPr>
      </w:pPr>
      <w:r>
        <w:rPr>
          <w:i/>
          <w:sz w:val="20"/>
        </w:rPr>
        <w:t>Įsakymas paskelbtas: TAR 2020-05-26, i. k. 2020-11162</w:t>
      </w:r>
    </w:p>
    <w:p w14:paraId="3A920ABB" w14:textId="77777777" w:rsidR="00B54227" w:rsidRDefault="00B54227">
      <w:pPr>
        <w:jc w:val="both"/>
        <w:rPr>
          <w:sz w:val="20"/>
        </w:rPr>
      </w:pPr>
    </w:p>
    <w:p w14:paraId="0FB27749" w14:textId="77777777" w:rsidR="00B54227" w:rsidRDefault="00B54227">
      <w:pPr>
        <w:tabs>
          <w:tab w:val="center" w:pos="4819"/>
          <w:tab w:val="right" w:pos="9638"/>
        </w:tabs>
      </w:pPr>
    </w:p>
    <w:p w14:paraId="4C96ECB5" w14:textId="77777777" w:rsidR="00B54227" w:rsidRDefault="00190802">
      <w:pPr>
        <w:tabs>
          <w:tab w:val="center" w:pos="4819"/>
          <w:tab w:val="right" w:pos="9638"/>
        </w:tabs>
        <w:jc w:val="center"/>
        <w:rPr>
          <w:szCs w:val="24"/>
          <w:lang w:val="en-US"/>
        </w:rPr>
      </w:pPr>
      <w:r>
        <w:rPr>
          <w:noProof/>
          <w:lang w:eastAsia="lt-LT"/>
        </w:rPr>
        <w:drawing>
          <wp:inline distT="0" distB="0" distL="0" distR="0" wp14:anchorId="21EA4863" wp14:editId="33E7C1A0">
            <wp:extent cx="518160" cy="621665"/>
            <wp:effectExtent l="0" t="0" r="0" b="6985"/>
            <wp:docPr id="392162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3B6A4" w14:textId="77777777" w:rsidR="00B54227" w:rsidRDefault="00B54227">
      <w:pPr>
        <w:tabs>
          <w:tab w:val="center" w:pos="4819"/>
          <w:tab w:val="right" w:pos="9638"/>
        </w:tabs>
        <w:jc w:val="center"/>
        <w:rPr>
          <w:szCs w:val="24"/>
        </w:rPr>
      </w:pPr>
    </w:p>
    <w:p w14:paraId="0A829815" w14:textId="77777777" w:rsidR="00B54227" w:rsidRDefault="00190802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LiETUVOS RESPUBLIKOS APLINKOS MINISTRAS</w:t>
      </w:r>
    </w:p>
    <w:p w14:paraId="4F1123B0" w14:textId="77777777" w:rsidR="00B54227" w:rsidRDefault="00B54227">
      <w:pPr>
        <w:jc w:val="center"/>
        <w:rPr>
          <w:b/>
          <w:caps/>
          <w:szCs w:val="24"/>
        </w:rPr>
      </w:pPr>
    </w:p>
    <w:p w14:paraId="5F92EA68" w14:textId="77777777" w:rsidR="00B54227" w:rsidRDefault="00190802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įsakymas </w:t>
      </w:r>
    </w:p>
    <w:p w14:paraId="22377EF6" w14:textId="77777777" w:rsidR="00B54227" w:rsidRDefault="00190802">
      <w:pPr>
        <w:keepLines/>
        <w:suppressAutoHyphens/>
        <w:jc w:val="center"/>
        <w:textAlignment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DĖL </w:t>
      </w:r>
      <w:r>
        <w:rPr>
          <w:b/>
          <w:bCs/>
          <w:color w:val="000000"/>
        </w:rPr>
        <w:t xml:space="preserve">KLIMATO KAITOS PROGRAMOS </w:t>
      </w:r>
      <w:r>
        <w:rPr>
          <w:b/>
          <w:caps/>
          <w:szCs w:val="24"/>
        </w:rPr>
        <w:t xml:space="preserve">PRIEMONĖS </w:t>
      </w:r>
      <w:r>
        <w:rPr>
          <w:b/>
          <w:szCs w:val="24"/>
        </w:rPr>
        <w:t>„</w:t>
      </w:r>
      <w:r>
        <w:rPr>
          <w:b/>
          <w:bCs/>
          <w:color w:val="000000"/>
          <w:szCs w:val="24"/>
        </w:rPr>
        <w:t xml:space="preserve">MIESTO IR PRIEMIESTINIO VIEŠOJO TRANSPORTO </w:t>
      </w:r>
      <w:r>
        <w:rPr>
          <w:b/>
          <w:bCs/>
          <w:color w:val="000000"/>
          <w:szCs w:val="24"/>
        </w:rPr>
        <w:t>PRIEMONIŲ PARKO ATNAUJINIMAS, SKATINANT NAUDOTI ELEKTRA, BIOMETANU, SUSLĖGTOMIS GAMTINĖMIS DUJOMIS, SUSKYSTINTOMIS GAMTINĖMIS DUJOMIS VAROMAS TRANSPORTO PRIEMONES</w:t>
      </w:r>
      <w:r>
        <w:rPr>
          <w:b/>
          <w:szCs w:val="24"/>
        </w:rPr>
        <w:t xml:space="preserve">“ </w:t>
      </w:r>
      <w:r>
        <w:rPr>
          <w:b/>
          <w:caps/>
          <w:szCs w:val="24"/>
        </w:rPr>
        <w:t xml:space="preserve">VALSTYBĖS PAGALBOS schemos patvirtinimo </w:t>
      </w:r>
    </w:p>
    <w:p w14:paraId="460E5B6A" w14:textId="77777777" w:rsidR="00B54227" w:rsidRDefault="00B54227">
      <w:pPr>
        <w:jc w:val="center"/>
        <w:rPr>
          <w:szCs w:val="24"/>
        </w:rPr>
      </w:pPr>
    </w:p>
    <w:p w14:paraId="2FD5C641" w14:textId="77777777" w:rsidR="00B54227" w:rsidRDefault="00190802">
      <w:pPr>
        <w:jc w:val="center"/>
        <w:rPr>
          <w:szCs w:val="24"/>
        </w:rPr>
      </w:pPr>
      <w:r>
        <w:rPr>
          <w:szCs w:val="24"/>
        </w:rPr>
        <w:t>2020 m. gegužės 26 d. Nr. D1-302</w:t>
      </w:r>
    </w:p>
    <w:p w14:paraId="37236FCD" w14:textId="77777777" w:rsidR="00B54227" w:rsidRDefault="00190802">
      <w:pPr>
        <w:jc w:val="center"/>
        <w:rPr>
          <w:szCs w:val="24"/>
        </w:rPr>
      </w:pPr>
      <w:r>
        <w:rPr>
          <w:szCs w:val="24"/>
        </w:rPr>
        <w:t>Vilnius</w:t>
      </w:r>
    </w:p>
    <w:p w14:paraId="6584CA30" w14:textId="77777777" w:rsidR="00B54227" w:rsidRDefault="00B54227">
      <w:pPr>
        <w:jc w:val="center"/>
        <w:rPr>
          <w:szCs w:val="24"/>
        </w:rPr>
      </w:pPr>
    </w:p>
    <w:p w14:paraId="324D6E8D" w14:textId="77777777" w:rsidR="00B54227" w:rsidRDefault="00B54227">
      <w:pPr>
        <w:jc w:val="center"/>
        <w:rPr>
          <w:szCs w:val="24"/>
        </w:rPr>
      </w:pPr>
    </w:p>
    <w:p w14:paraId="5F96EC44" w14:textId="77777777" w:rsidR="00B54227" w:rsidRDefault="00190802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Vadovaudamasis Lietuvos Respublikos aplinkos ministerijos nuostatų, patvirtintų Lietuvos Respublikos Vyriausybės </w:t>
      </w:r>
      <w:r>
        <w:rPr>
          <w:color w:val="000000"/>
          <w:szCs w:val="24"/>
        </w:rPr>
        <w:t>1998 m. rugsėjo 22 d. nutarimu Nr. 1138</w:t>
      </w:r>
      <w:r>
        <w:rPr>
          <w:szCs w:val="24"/>
        </w:rPr>
        <w:t xml:space="preserve"> „Dėl Lietuvos Respublikos aplinkos ministerijos nuostatų patvirtinimo“, 9.2 papunkčiu ir Klimato kaitos</w:t>
      </w:r>
      <w:r>
        <w:rPr>
          <w:szCs w:val="24"/>
        </w:rPr>
        <w:t xml:space="preserve"> programos lėšų naudojimo tvarkos aprašo, patvirtinto Lietuvos Respublikos </w:t>
      </w:r>
      <w:r>
        <w:rPr>
          <w:color w:val="000000"/>
          <w:szCs w:val="24"/>
        </w:rPr>
        <w:t>aplinkos ministro 2010 m. balandžio 6 d. įsakymu Nr. D1-275 „Dėl Klimato kaitos programos lėšų naudojimo tvarkos aprašo patvirtinimo“, 47 punktu</w:t>
      </w:r>
      <w:r>
        <w:rPr>
          <w:szCs w:val="24"/>
        </w:rPr>
        <w:t>,</w:t>
      </w:r>
    </w:p>
    <w:p w14:paraId="3BF2CCC3" w14:textId="77777777" w:rsidR="00B54227" w:rsidRDefault="00190802">
      <w:pPr>
        <w:ind w:firstLine="720"/>
        <w:jc w:val="both"/>
      </w:pPr>
      <w:r>
        <w:rPr>
          <w:spacing w:val="60"/>
          <w:szCs w:val="24"/>
        </w:rPr>
        <w:t xml:space="preserve">tvirtinu </w:t>
      </w:r>
      <w:r>
        <w:rPr>
          <w:szCs w:val="24"/>
        </w:rPr>
        <w:t>Klimato kaitos programos p</w:t>
      </w:r>
      <w:r>
        <w:rPr>
          <w:szCs w:val="24"/>
        </w:rPr>
        <w:t>riemonės „</w:t>
      </w:r>
      <w:r>
        <w:rPr>
          <w:bCs/>
          <w:color w:val="000000"/>
          <w:szCs w:val="24"/>
        </w:rPr>
        <w:t xml:space="preserve">Miesto ir priemiestinio viešojo transporto priemonių parko atnaujinimas, skatinant naudoti elektra, </w:t>
      </w:r>
      <w:proofErr w:type="spellStart"/>
      <w:r>
        <w:rPr>
          <w:bCs/>
          <w:color w:val="000000"/>
          <w:szCs w:val="24"/>
        </w:rPr>
        <w:t>biometanu</w:t>
      </w:r>
      <w:proofErr w:type="spellEnd"/>
      <w:r>
        <w:rPr>
          <w:bCs/>
          <w:color w:val="000000"/>
          <w:szCs w:val="24"/>
        </w:rPr>
        <w:t>, suslėgtomis gamtinėmis dujomis, suskystintomis gamtinėmis dujomis varomas transporto priemones</w:t>
      </w:r>
      <w:r>
        <w:rPr>
          <w:szCs w:val="24"/>
        </w:rPr>
        <w:t>“ valstybės pagalbos schemą (pridedama).</w:t>
      </w:r>
    </w:p>
    <w:p w14:paraId="6CA6296E" w14:textId="77777777" w:rsidR="00B54227" w:rsidRDefault="00B54227">
      <w:pPr>
        <w:tabs>
          <w:tab w:val="left" w:pos="7797"/>
        </w:tabs>
      </w:pPr>
    </w:p>
    <w:p w14:paraId="3D9063F0" w14:textId="77777777" w:rsidR="00B54227" w:rsidRDefault="00B54227">
      <w:pPr>
        <w:tabs>
          <w:tab w:val="left" w:pos="7797"/>
        </w:tabs>
      </w:pPr>
    </w:p>
    <w:p w14:paraId="6756B524" w14:textId="77777777" w:rsidR="00B54227" w:rsidRDefault="00B54227">
      <w:pPr>
        <w:tabs>
          <w:tab w:val="left" w:pos="7797"/>
        </w:tabs>
      </w:pPr>
    </w:p>
    <w:p w14:paraId="047026CF" w14:textId="77777777" w:rsidR="00B54227" w:rsidRDefault="00190802">
      <w:pPr>
        <w:tabs>
          <w:tab w:val="left" w:pos="7797"/>
        </w:tabs>
      </w:pPr>
      <w:r>
        <w:rPr>
          <w:szCs w:val="24"/>
        </w:rPr>
        <w:t>Aplinkos ministras</w:t>
      </w:r>
      <w:r>
        <w:rPr>
          <w:szCs w:val="24"/>
        </w:rPr>
        <w:tab/>
        <w:t>Kęstutis Mažeika</w:t>
      </w:r>
    </w:p>
    <w:p w14:paraId="5D8D88EC" w14:textId="77777777" w:rsidR="00B54227" w:rsidRDefault="00190802">
      <w:pPr>
        <w:ind w:left="4525" w:firstLine="720"/>
        <w:rPr>
          <w:szCs w:val="24"/>
          <w:lang w:val="en-US"/>
        </w:rPr>
      </w:pPr>
      <w:r>
        <w:rPr>
          <w:szCs w:val="24"/>
        </w:rPr>
        <w:t>SUDERINTA</w:t>
      </w:r>
    </w:p>
    <w:p w14:paraId="19CAA8A4" w14:textId="77777777" w:rsidR="00B54227" w:rsidRDefault="00190802">
      <w:pPr>
        <w:ind w:left="4525" w:firstLine="720"/>
        <w:rPr>
          <w:szCs w:val="24"/>
          <w:lang w:val="en-US"/>
        </w:rPr>
      </w:pPr>
      <w:r>
        <w:rPr>
          <w:szCs w:val="24"/>
        </w:rPr>
        <w:t>Lietuvos Respublikos konkurencijos tarybos</w:t>
      </w:r>
    </w:p>
    <w:p w14:paraId="0EB46C6E" w14:textId="77777777" w:rsidR="00B54227" w:rsidRDefault="00190802">
      <w:pPr>
        <w:ind w:left="4525" w:firstLine="720"/>
        <w:rPr>
          <w:szCs w:val="24"/>
        </w:rPr>
      </w:pPr>
      <w:r>
        <w:rPr>
          <w:szCs w:val="24"/>
        </w:rPr>
        <w:t xml:space="preserve">2020 m. gegužės 13 d. raštu </w:t>
      </w:r>
    </w:p>
    <w:p w14:paraId="3AB06B10" w14:textId="77777777" w:rsidR="00B54227" w:rsidRDefault="00190802">
      <w:pPr>
        <w:ind w:left="4525" w:firstLine="720"/>
        <w:rPr>
          <w:szCs w:val="24"/>
        </w:rPr>
      </w:pPr>
      <w:r>
        <w:rPr>
          <w:szCs w:val="24"/>
        </w:rPr>
        <w:t xml:space="preserve">Nr. </w:t>
      </w:r>
      <w:r>
        <w:t>(9.8E-35)6V-606</w:t>
      </w:r>
    </w:p>
    <w:p w14:paraId="1D081A02" w14:textId="77777777" w:rsidR="00B54227" w:rsidRDefault="00B54227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529" w:hanging="284"/>
        <w:textAlignment w:val="center"/>
        <w:rPr>
          <w:bCs/>
          <w:color w:val="000000"/>
          <w:szCs w:val="24"/>
        </w:rPr>
      </w:pPr>
    </w:p>
    <w:p w14:paraId="5ADA865B" w14:textId="77777777" w:rsidR="00B54227" w:rsidRDefault="00B54227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529" w:hanging="284"/>
        <w:textAlignment w:val="center"/>
        <w:sectPr w:rsidR="00B542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C6143C7" w14:textId="77777777" w:rsidR="00B54227" w:rsidRDefault="00190802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529" w:hanging="284"/>
        <w:textAlignment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lastRenderedPageBreak/>
        <w:t xml:space="preserve">PATVIRTINTA </w:t>
      </w:r>
    </w:p>
    <w:p w14:paraId="0A71E04B" w14:textId="77777777" w:rsidR="00B54227" w:rsidRDefault="00190802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529" w:hanging="284"/>
        <w:textAlignment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Lietuvos Respublikos aplinkos ministro </w:t>
      </w:r>
    </w:p>
    <w:p w14:paraId="4DB65D29" w14:textId="77777777" w:rsidR="00B54227" w:rsidRDefault="00190802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529" w:hanging="284"/>
        <w:textAlignment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2020 m. gegužės 26 d. įsakymu Nr. D1-302</w:t>
      </w:r>
    </w:p>
    <w:p w14:paraId="6820C569" w14:textId="77777777" w:rsidR="00B54227" w:rsidRDefault="00B54227">
      <w:pPr>
        <w:suppressAutoHyphens/>
        <w:ind w:firstLine="312"/>
        <w:jc w:val="both"/>
        <w:textAlignment w:val="center"/>
        <w:rPr>
          <w:color w:val="000000"/>
          <w:sz w:val="22"/>
          <w:szCs w:val="22"/>
        </w:rPr>
      </w:pPr>
    </w:p>
    <w:p w14:paraId="4C422CFA" w14:textId="77777777" w:rsidR="00B54227" w:rsidRDefault="00B54227">
      <w:pPr>
        <w:suppressAutoHyphens/>
        <w:ind w:firstLine="312"/>
        <w:jc w:val="both"/>
        <w:textAlignment w:val="center"/>
        <w:rPr>
          <w:color w:val="000000"/>
          <w:sz w:val="22"/>
          <w:szCs w:val="22"/>
        </w:rPr>
      </w:pPr>
    </w:p>
    <w:p w14:paraId="21C458E0" w14:textId="77777777" w:rsidR="00B54227" w:rsidRDefault="00190802">
      <w:pPr>
        <w:keepLines/>
        <w:suppressAutoHyphens/>
        <w:jc w:val="center"/>
        <w:textAlignment w:val="center"/>
        <w:rPr>
          <w:b/>
          <w:caps/>
          <w:szCs w:val="24"/>
        </w:rPr>
      </w:pPr>
      <w:r>
        <w:rPr>
          <w:b/>
          <w:bCs/>
          <w:caps/>
          <w:color w:val="000000"/>
          <w:szCs w:val="24"/>
        </w:rPr>
        <w:t xml:space="preserve">Klimato kaitos programos priemonės </w:t>
      </w:r>
      <w:r>
        <w:rPr>
          <w:b/>
          <w:szCs w:val="24"/>
        </w:rPr>
        <w:t>„</w:t>
      </w:r>
      <w:r>
        <w:rPr>
          <w:b/>
          <w:bCs/>
          <w:color w:val="000000"/>
          <w:szCs w:val="24"/>
        </w:rPr>
        <w:t>MIESTO IR PRIEMIESTINIO VIEŠOJO TRANSPORTO PRIEMONIŲ PARKO ATNAUJINIMAS, SKATINANT NAUDOTI ELEKTRA, BIOMETANU, SUSLĖGTOMIS GAMTINĖMIS DUJ</w:t>
      </w:r>
      <w:r>
        <w:rPr>
          <w:b/>
          <w:bCs/>
          <w:color w:val="000000"/>
          <w:szCs w:val="24"/>
        </w:rPr>
        <w:t>OMIS, SUSKYSTINTOMIS GAMTINĖMIS DUJOMIS VAROMAS TRANSPORTO PRIEMONES</w:t>
      </w:r>
      <w:r>
        <w:rPr>
          <w:b/>
          <w:szCs w:val="24"/>
        </w:rPr>
        <w:t>“</w:t>
      </w:r>
      <w:r>
        <w:rPr>
          <w:b/>
          <w:caps/>
          <w:szCs w:val="24"/>
        </w:rPr>
        <w:t xml:space="preserve"> </w:t>
      </w:r>
    </w:p>
    <w:p w14:paraId="04924BFD" w14:textId="77777777" w:rsidR="00B54227" w:rsidRDefault="00B54227">
      <w:pPr>
        <w:keepLines/>
        <w:suppressAutoHyphens/>
        <w:jc w:val="center"/>
        <w:textAlignment w:val="center"/>
        <w:rPr>
          <w:b/>
          <w:bCs/>
          <w:caps/>
          <w:color w:val="000000"/>
          <w:szCs w:val="24"/>
        </w:rPr>
      </w:pPr>
    </w:p>
    <w:p w14:paraId="7B79EEBD" w14:textId="77777777" w:rsidR="00B54227" w:rsidRDefault="00190802">
      <w:pPr>
        <w:keepLines/>
        <w:suppressAutoHyphens/>
        <w:jc w:val="center"/>
        <w:textAlignment w:val="center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>VALSTYBĖS PAGALBOS SCHEMA</w:t>
      </w:r>
    </w:p>
    <w:p w14:paraId="0FC8D3F5" w14:textId="77777777" w:rsidR="00B54227" w:rsidRDefault="00B54227">
      <w:pPr>
        <w:suppressAutoHyphens/>
        <w:jc w:val="both"/>
        <w:textAlignment w:val="center"/>
        <w:rPr>
          <w:color w:val="000000"/>
          <w:sz w:val="22"/>
          <w:szCs w:val="22"/>
        </w:rPr>
      </w:pPr>
    </w:p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372"/>
      </w:tblGrid>
      <w:tr w:rsidR="00B54227" w14:paraId="72B5BB1F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04E5" w14:textId="77777777" w:rsidR="00B54227" w:rsidRDefault="00190802">
            <w:pPr>
              <w:ind w:left="57"/>
              <w:jc w:val="center"/>
              <w:textAlignment w:val="center"/>
              <w:rPr>
                <w:b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>Eil.</w:t>
            </w:r>
          </w:p>
          <w:p w14:paraId="65608315" w14:textId="77777777" w:rsidR="00B54227" w:rsidRDefault="00190802">
            <w:pPr>
              <w:ind w:left="57"/>
              <w:jc w:val="center"/>
              <w:textAlignment w:val="center"/>
              <w:rPr>
                <w:b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9197D1" w14:textId="77777777" w:rsidR="00B54227" w:rsidRDefault="00190802"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>Pagrindiniai elementai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7A08F0" w14:textId="77777777" w:rsidR="00B54227" w:rsidRDefault="00190802">
            <w:pPr>
              <w:ind w:firstLine="175"/>
              <w:jc w:val="both"/>
              <w:textAlignment w:val="center"/>
              <w:rPr>
                <w:b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>Paaiškinimas</w:t>
            </w:r>
          </w:p>
        </w:tc>
      </w:tr>
      <w:tr w:rsidR="00B54227" w14:paraId="33368C59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8F98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099375" w14:textId="77777777" w:rsidR="00B54227" w:rsidRDefault="00190802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Teisinis pagrindas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6AD628" w14:textId="77777777" w:rsidR="00B54227" w:rsidRDefault="00190802">
            <w:pPr>
              <w:suppressAutoHyphens/>
              <w:ind w:firstLine="284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Schema parengta vadovaujantis:</w:t>
            </w:r>
          </w:p>
          <w:p w14:paraId="46A69087" w14:textId="77777777" w:rsidR="00B54227" w:rsidRDefault="00190802">
            <w:pPr>
              <w:suppressAutoHyphens/>
              <w:ind w:firstLine="284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2014 m. birželio 17 d. 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Komisijos Reglamento (ES) </w:t>
            </w:r>
            <w:r>
              <w:rPr>
                <w:color w:val="000000"/>
                <w:sz w:val="22"/>
                <w:szCs w:val="22"/>
                <w:lang w:eastAsia="lt-LT"/>
              </w:rPr>
              <w:t>Nr. 651/2014, kuriuo tam tikrų kategorijų pagalba skelbiama suderinama su vidaus rinka taikant Sutarties 107 ir 108 straipsnius</w:t>
            </w:r>
            <w:r>
              <w:rPr>
                <w:color w:val="000000"/>
                <w:sz w:val="22"/>
                <w:szCs w:val="22"/>
              </w:rPr>
              <w:t xml:space="preserve"> (toliau – Reglamentas Nr. 651/2014), I skyriaus ir 36 straipsnio nuostatomis, su paskutiniais </w:t>
            </w:r>
            <w:r>
              <w:rPr>
                <w:sz w:val="22"/>
                <w:szCs w:val="22"/>
              </w:rPr>
              <w:t>pakeitimais,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padarytais 2017 m. bi</w:t>
            </w:r>
            <w:r>
              <w:rPr>
                <w:sz w:val="22"/>
                <w:szCs w:val="22"/>
              </w:rPr>
              <w:t>rželio 14 d. Komisijos reglamentu (ES) Nr. 2017/1084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>;</w:t>
            </w:r>
          </w:p>
          <w:p w14:paraId="7F035644" w14:textId="77777777" w:rsidR="00B54227" w:rsidRDefault="00190802">
            <w:pPr>
              <w:suppressAutoHyphens/>
              <w:ind w:firstLine="284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m. Klimato kaitos programos lėšų naudojimo sąmatoje priemonei numatytu finansavimu;</w:t>
            </w:r>
          </w:p>
          <w:p w14:paraId="3E117CFE" w14:textId="77777777" w:rsidR="00B54227" w:rsidRDefault="00190802">
            <w:pPr>
              <w:suppressAutoHyphens/>
              <w:ind w:firstLine="284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m. Klimato kaitos programos lėšų naudojimo sąmatos detalizuojančiame plane  priemonei numatytu finansavimu</w:t>
            </w:r>
            <w:r>
              <w:rPr>
                <w:color w:val="000000"/>
                <w:sz w:val="22"/>
                <w:szCs w:val="22"/>
              </w:rPr>
              <w:t xml:space="preserve"> ir paramos kriterijais;</w:t>
            </w:r>
          </w:p>
          <w:p w14:paraId="3FF4F3B7" w14:textId="77777777" w:rsidR="00B54227" w:rsidRDefault="00190802">
            <w:pPr>
              <w:suppressAutoHyphens/>
              <w:ind w:firstLine="284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aplinkos ministro 2010 m. balandžio 6 d. įsakymu Nr. D1-275 „Dėl Klimato kaitos programos lėšų naudojimo tvarkos aprašo patvirtinimo“. </w:t>
            </w:r>
          </w:p>
        </w:tc>
      </w:tr>
      <w:tr w:rsidR="00B54227" w14:paraId="0FCEBCD9" w14:textId="77777777">
        <w:trPr>
          <w:trHeight w:val="4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2F624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99ABAE" w14:textId="77777777" w:rsidR="00B54227" w:rsidRDefault="00190802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Planuojama skirti finansavimo suma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5BFB91" w14:textId="77777777" w:rsidR="00B54227" w:rsidRDefault="00190802">
            <w:pPr>
              <w:ind w:firstLine="284"/>
              <w:rPr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</w:rPr>
              <w:t>20 mln.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Eur (dvidešimt milijonų eurų) – Klimato </w:t>
            </w:r>
            <w:r>
              <w:rPr>
                <w:bCs/>
                <w:sz w:val="22"/>
                <w:szCs w:val="22"/>
              </w:rPr>
              <w:t>kaitos programos lėšos.</w:t>
            </w:r>
          </w:p>
        </w:tc>
      </w:tr>
      <w:tr w:rsidR="00B54227" w14:paraId="7D61299F" w14:textId="77777777">
        <w:trPr>
          <w:trHeight w:val="5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9C23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3.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85B340" w14:textId="77777777" w:rsidR="00B54227" w:rsidRDefault="00190802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Schemos galiojimo trukmė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3A4B21" w14:textId="77777777" w:rsidR="00B54227" w:rsidRDefault="00190802">
            <w:pPr>
              <w:suppressAutoHyphens/>
              <w:ind w:firstLine="284"/>
              <w:jc w:val="both"/>
              <w:textAlignment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Investicijos pagal šią schemą bus vykdomos Reglamento Nr. 651/2014 taikymo laikotarpiu, </w:t>
            </w:r>
            <w:r>
              <w:rPr>
                <w:sz w:val="22"/>
                <w:szCs w:val="22"/>
              </w:rPr>
              <w:t>t. y.</w:t>
            </w:r>
            <w:r>
              <w:rPr>
                <w:color w:val="000000"/>
                <w:sz w:val="22"/>
                <w:szCs w:val="22"/>
              </w:rPr>
              <w:t xml:space="preserve"> iki 2020 m. gruodžio 31 d. Jei bus priimtas naujas reglamentas, pakeisiantis Reglamentą Nr. 651/2014, arba Reglamento Nr. 651/2014 galiojimas bus pratęstas, investicijų teikimas pagal šią schemą gali būti pratęstas.</w:t>
            </w:r>
          </w:p>
        </w:tc>
      </w:tr>
      <w:tr w:rsidR="00B54227" w14:paraId="452764AF" w14:textId="77777777">
        <w:trPr>
          <w:trHeight w:val="4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BA8A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4.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AF0AB0" w14:textId="77777777" w:rsidR="00B54227" w:rsidRDefault="00190802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Vartojamos sąvokos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39D184" w14:textId="77777777" w:rsidR="00B54227" w:rsidRDefault="00190802">
            <w:pPr>
              <w:suppressAutoHyphens/>
              <w:ind w:firstLine="284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Vartojamos sąvo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kos atitinka </w:t>
            </w:r>
            <w:r>
              <w:rPr>
                <w:color w:val="000000"/>
                <w:sz w:val="22"/>
                <w:szCs w:val="22"/>
              </w:rPr>
              <w:t>Reglamente Nr. 651/2014 apibrėžtas sąvokas.</w:t>
            </w:r>
          </w:p>
        </w:tc>
      </w:tr>
      <w:tr w:rsidR="00B54227" w14:paraId="62E280D4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E5C1B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5.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302118" w14:textId="77777777" w:rsidR="00B54227" w:rsidRDefault="00190802">
            <w:pPr>
              <w:ind w:firstLine="34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Remiama veikla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7272C8" w14:textId="77777777" w:rsidR="00B54227" w:rsidRDefault="00190802">
            <w:pPr>
              <w:ind w:firstLine="284"/>
              <w:jc w:val="both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Klimato kaitos programos lėšomis tinkamos finansuoti išlaidos:</w:t>
            </w:r>
          </w:p>
          <w:p w14:paraId="6EAA2D0F" w14:textId="77777777" w:rsidR="00B54227" w:rsidRDefault="00190802">
            <w:pPr>
              <w:tabs>
                <w:tab w:val="left" w:pos="993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  <w:lang w:eastAsia="lt-LT"/>
              </w:rPr>
              <w:t xml:space="preserve">naujų neeksploatuotų transporto priemonių keleiviams vežti, kurioms (kiekvienai) taikomos 2014 m. spalio 22 </w:t>
            </w:r>
            <w:r>
              <w:rPr>
                <w:sz w:val="22"/>
                <w:szCs w:val="22"/>
                <w:lang w:eastAsia="lt-LT"/>
              </w:rPr>
              <w:t>d. Europos Parlamento ir Tarybos direktyvos 2014/94/ES dėl alternatyviųjų degalų infrastruktūros diegimo nuostatos, ir 2019 m. birželio 20 d. Europos Parlamento ir Tarybos direktyva (ES) 2019/1161, kuria iš dalies keičiama Direktyva 2009/33/EB dėl skatinim</w:t>
            </w:r>
            <w:r>
              <w:rPr>
                <w:sz w:val="22"/>
                <w:szCs w:val="22"/>
                <w:lang w:eastAsia="lt-LT"/>
              </w:rPr>
              <w:t>o naudoti netaršias ir efektyviai energiją vartojančias kelių transporto priemones, įsigijimui:</w:t>
            </w:r>
          </w:p>
          <w:p w14:paraId="118F8074" w14:textId="77777777" w:rsidR="00B54227" w:rsidRDefault="00190802">
            <w:pPr>
              <w:tabs>
                <w:tab w:val="left" w:pos="993"/>
              </w:tabs>
              <w:ind w:firstLine="284"/>
              <w:jc w:val="both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5.1.1. elektra varomų (transporto priemonių elektra gali būti tiekiama įvairiais būdais: įkrovimo jungtimis iš įkrovimo stotelių, </w:t>
            </w:r>
            <w:proofErr w:type="spellStart"/>
            <w:r>
              <w:rPr>
                <w:sz w:val="22"/>
                <w:szCs w:val="22"/>
                <w:lang w:eastAsia="lt-LT"/>
              </w:rPr>
              <w:t>trolėjomis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, naudojant </w:t>
            </w:r>
            <w:proofErr w:type="spellStart"/>
            <w:r>
              <w:rPr>
                <w:sz w:val="22"/>
                <w:szCs w:val="22"/>
                <w:lang w:eastAsia="lt-LT"/>
              </w:rPr>
              <w:t>pantogra</w:t>
            </w:r>
            <w:r>
              <w:rPr>
                <w:sz w:val="22"/>
                <w:szCs w:val="22"/>
                <w:lang w:eastAsia="lt-LT"/>
              </w:rPr>
              <w:t>fus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, iš įkraunamų akumuliatorių, indukcijos būdu ir kitais būdais, naudojant bet kokias šių būdų kombinacijas), 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neturinčių vidaus degimo variklių, </w:t>
            </w:r>
            <w:r>
              <w:rPr>
                <w:sz w:val="22"/>
                <w:szCs w:val="22"/>
                <w:lang w:eastAsia="lt-LT"/>
              </w:rPr>
              <w:t xml:space="preserve">išskyrus, </w:t>
            </w:r>
            <w:r>
              <w:rPr>
                <w:color w:val="000000"/>
                <w:sz w:val="22"/>
                <w:szCs w:val="22"/>
                <w:lang w:eastAsia="lt-LT"/>
              </w:rPr>
              <w:t>kai vidaus degimo variklyje naudojamos tik 1.1.2</w:t>
            </w:r>
            <w:r>
              <w:rPr>
                <w:sz w:val="22"/>
                <w:szCs w:val="22"/>
                <w:lang w:eastAsia="lt-LT"/>
              </w:rPr>
              <w:t>–</w:t>
            </w:r>
            <w:r>
              <w:rPr>
                <w:color w:val="000000"/>
                <w:sz w:val="22"/>
                <w:szCs w:val="22"/>
                <w:lang w:eastAsia="lt-LT"/>
              </w:rPr>
              <w:t>1.1.3 papunkčiuose nurodytos kuro rūšys;</w:t>
            </w:r>
          </w:p>
          <w:p w14:paraId="493F9A1D" w14:textId="77777777" w:rsidR="00B54227" w:rsidRDefault="00190802">
            <w:pPr>
              <w:tabs>
                <w:tab w:val="left" w:pos="993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5.1.2. na</w:t>
            </w:r>
            <w:r>
              <w:rPr>
                <w:sz w:val="22"/>
                <w:szCs w:val="22"/>
                <w:lang w:eastAsia="lt-LT"/>
              </w:rPr>
              <w:t xml:space="preserve">udojančių biodujas; </w:t>
            </w:r>
          </w:p>
          <w:p w14:paraId="28081850" w14:textId="77777777" w:rsidR="00B54227" w:rsidRDefault="00190802">
            <w:pPr>
              <w:tabs>
                <w:tab w:val="left" w:pos="993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5.1.3. naudojančių suslėgtąsias arba suskystintąsias gamtines dujas;</w:t>
            </w:r>
          </w:p>
          <w:p w14:paraId="59997D5E" w14:textId="77777777" w:rsidR="00B54227" w:rsidRDefault="00190802">
            <w:pPr>
              <w:tabs>
                <w:tab w:val="left" w:pos="993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5.1.4. naudojančių vandenilį;</w:t>
            </w:r>
          </w:p>
          <w:p w14:paraId="706B63D9" w14:textId="77777777" w:rsidR="00B54227" w:rsidRDefault="00190802">
            <w:pPr>
              <w:tabs>
                <w:tab w:val="left" w:pos="993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5.1.5. naudojančių bet kokią 5.1.1–5.1.4 papunkčiuose išvardytų energijos tipų kombinaciją.</w:t>
            </w:r>
          </w:p>
        </w:tc>
      </w:tr>
      <w:tr w:rsidR="00B54227" w14:paraId="3425842B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52EBE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8EEDCF" w14:textId="77777777" w:rsidR="00B54227" w:rsidRDefault="00190802">
            <w:pPr>
              <w:textAlignment w:val="center"/>
              <w:rPr>
                <w:color w:val="000000"/>
                <w:sz w:val="22"/>
                <w:szCs w:val="22"/>
                <w:lang w:val="en-US"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Papildomi reikalavimai </w:t>
            </w:r>
            <w:r>
              <w:rPr>
                <w:color w:val="000000"/>
                <w:sz w:val="22"/>
                <w:szCs w:val="22"/>
                <w:lang w:eastAsia="lt-LT"/>
              </w:rPr>
              <w:t>subsidijos lėšomis įsigyjamoms transporto priemonėms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4626A5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Transporto priemonės privalo atitikti šiuos minimalius reikalavimus:</w:t>
            </w:r>
          </w:p>
          <w:p w14:paraId="044558F1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kelių transporto priemonė turi atitikti I, II ir A klasių keleivinėms transporto priemonėms keliamus reikalavimus, nustatytus Jun</w:t>
            </w:r>
            <w:r>
              <w:rPr>
                <w:sz w:val="22"/>
                <w:szCs w:val="22"/>
                <w:lang w:eastAsia="lt-LT"/>
              </w:rPr>
              <w:t xml:space="preserve">gtinių Tautų transporto priemonių taisyklėje Nr. 107, kuri skelbiama </w:t>
            </w:r>
            <w:r>
              <w:rPr>
                <w:color w:val="0000FF"/>
                <w:sz w:val="22"/>
                <w:szCs w:val="22"/>
                <w:u w:val="single"/>
                <w:lang w:eastAsia="lt-LT"/>
              </w:rPr>
              <w:t xml:space="preserve">https://eur-lex.europa.eu/legal </w:t>
            </w:r>
            <w:proofErr w:type="spellStart"/>
            <w:r>
              <w:rPr>
                <w:color w:val="0000FF"/>
                <w:sz w:val="22"/>
                <w:szCs w:val="22"/>
                <w:u w:val="single"/>
                <w:lang w:eastAsia="lt-LT"/>
              </w:rPr>
              <w:t>content</w:t>
            </w:r>
            <w:proofErr w:type="spellEnd"/>
            <w:r>
              <w:rPr>
                <w:color w:val="0000FF"/>
                <w:sz w:val="22"/>
                <w:szCs w:val="22"/>
                <w:u w:val="single"/>
                <w:lang w:eastAsia="lt-LT"/>
              </w:rPr>
              <w:t>/LT/TXT/?uri=CELEX%3A42015X0618%2801%29</w:t>
            </w:r>
            <w:r>
              <w:rPr>
                <w:sz w:val="22"/>
                <w:szCs w:val="22"/>
                <w:lang w:eastAsia="lt-LT"/>
              </w:rPr>
              <w:t xml:space="preserve"> (negalima įsigyti III ir B klasės transporto priemonių);</w:t>
            </w:r>
          </w:p>
          <w:p w14:paraId="7371D696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įrengta bent 1 vieta neįgaliesiems ir (ar) spe</w:t>
            </w:r>
            <w:r>
              <w:rPr>
                <w:sz w:val="22"/>
                <w:szCs w:val="22"/>
                <w:lang w:eastAsia="lt-LT"/>
              </w:rPr>
              <w:t xml:space="preserve">cialiųjų poreikių turintiems žmonėms su vežimėliu tvirtinimo diržai, bėgeliai ar kita vežimėlio tvirtinimo įranga); </w:t>
            </w:r>
          </w:p>
          <w:p w14:paraId="71422BCE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aprūpinta neįgaliesiems ir (ar) specialiųjų poreikių turintiems žmonėms pritaikytais vairuotojo informavimo mygtukais apie išlipimą ir</w:t>
            </w:r>
            <w:r>
              <w:rPr>
                <w:sz w:val="22"/>
                <w:szCs w:val="22"/>
                <w:lang w:eastAsia="lt-LT"/>
              </w:rPr>
              <w:t xml:space="preserve"> specialiu </w:t>
            </w:r>
            <w:proofErr w:type="spellStart"/>
            <w:r>
              <w:rPr>
                <w:sz w:val="22"/>
                <w:szCs w:val="22"/>
                <w:lang w:eastAsia="lt-LT"/>
              </w:rPr>
              <w:t>piktograminiu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žymėjimu (transporto priemonės išorėje ir viduje);</w:t>
            </w:r>
          </w:p>
          <w:p w14:paraId="12976CA8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įrengtos keleivių informavimo priemonės (vaizdinės ir garsinės), atitinkančios reikalavimus, nustatytus Keleivinio kelių transporto priemonių apipavidalinimo tvarkos apraše, p</w:t>
            </w:r>
            <w:r>
              <w:rPr>
                <w:sz w:val="22"/>
                <w:szCs w:val="22"/>
                <w:lang w:eastAsia="lt-LT"/>
              </w:rPr>
              <w:t xml:space="preserve">atvirtintame Lietuvos Respublikos susisiekimo ministro 1998 m. vasario 12 d. įsakymu </w:t>
            </w:r>
            <w:r>
              <w:rPr>
                <w:sz w:val="22"/>
                <w:szCs w:val="22"/>
                <w:lang w:eastAsia="lt-LT"/>
              </w:rPr>
              <w:br/>
              <w:t>Nr. 55 „Dėl Keleivinio kelių transporto priemonių apipavidalinimo tvarkos aprašo patvirtinimo“;</w:t>
            </w:r>
          </w:p>
          <w:p w14:paraId="56303562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6.5. neįgaliųjų su vežimėliais ir (ar) specialiųjų poreikių turinčių žmoni</w:t>
            </w:r>
            <w:r>
              <w:rPr>
                <w:sz w:val="22"/>
                <w:szCs w:val="22"/>
                <w:lang w:eastAsia="lt-LT"/>
              </w:rPr>
              <w:t>ų įlaipinimas ir (ar) įvažiavimas, išlaipinimas ir (ar) išvažiavimas numatytas per šonines duris;</w:t>
            </w:r>
          </w:p>
          <w:p w14:paraId="127CCDF7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6.6. keleivių įlipimo ir (ar) išlipimo pakopos ir grindų briaunos turi būti pažymėtos ryškiu kontrastiniu žymėjimu;</w:t>
            </w:r>
          </w:p>
          <w:p w14:paraId="58F63CA5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6.7. įrengta vaizdo stebėjimo sistema kele</w:t>
            </w:r>
            <w:r>
              <w:rPr>
                <w:sz w:val="22"/>
                <w:szCs w:val="22"/>
                <w:lang w:eastAsia="lt-LT"/>
              </w:rPr>
              <w:t>ivių ir vairuotojų saugumui užtikrinti, leidžianti stebėti visą transporto priemonės saloną;</w:t>
            </w:r>
          </w:p>
          <w:p w14:paraId="79815D74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6.8. transporto priemonė ar jos dalis, kurioje neįgalieji ir (ar) specialiųjų poreikių turintys žmonės su vežimėliu įlaipinami ir (ar) išlaipinami, turi būti </w:t>
            </w:r>
            <w:proofErr w:type="spellStart"/>
            <w:r>
              <w:rPr>
                <w:sz w:val="22"/>
                <w:szCs w:val="22"/>
                <w:lang w:eastAsia="lt-LT"/>
              </w:rPr>
              <w:t>žemag</w:t>
            </w:r>
            <w:r>
              <w:rPr>
                <w:sz w:val="22"/>
                <w:szCs w:val="22"/>
                <w:lang w:eastAsia="lt-LT"/>
              </w:rPr>
              <w:t>rindė</w:t>
            </w:r>
            <w:proofErr w:type="spellEnd"/>
            <w:r>
              <w:rPr>
                <w:sz w:val="22"/>
                <w:szCs w:val="22"/>
                <w:lang w:eastAsia="lt-LT"/>
              </w:rPr>
              <w:t>;</w:t>
            </w:r>
          </w:p>
          <w:p w14:paraId="72EB3156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6.9. įdiegtas išorinis keleivių įlipimo ir (ar) išlipimo durų apšvietimas, veikiantis transporto priemonei sustojus ir atidarius duris;</w:t>
            </w:r>
          </w:p>
          <w:p w14:paraId="43D0965F" w14:textId="77777777" w:rsidR="00B54227" w:rsidRDefault="00190802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6.10. įdiegta antialkoholiniu variklio užraktu (alkoholio matuokliu, sujungtu su variklio paleidimo </w:t>
            </w:r>
            <w:r>
              <w:rPr>
                <w:sz w:val="22"/>
                <w:szCs w:val="22"/>
                <w:lang w:eastAsia="lt-LT"/>
              </w:rPr>
              <w:t>mechanizmu ir galinčiu blokuoti variklio paleidimą, jeigu į jį kvepiamame ore alkoholio koncentracija viršija numatytąją).</w:t>
            </w:r>
          </w:p>
        </w:tc>
      </w:tr>
      <w:tr w:rsidR="00B54227" w14:paraId="0C61BB55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C2E4E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992127" w14:textId="77777777" w:rsidR="00B54227" w:rsidRDefault="00190802">
            <w:pPr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Kiti reikalavimai pareiškėjams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99C58F" w14:textId="77777777" w:rsidR="00B54227" w:rsidRDefault="00190802">
            <w:pPr>
              <w:ind w:firstLine="28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Kiti reikalavimai:</w:t>
            </w:r>
          </w:p>
          <w:p w14:paraId="623CEA78" w14:textId="77777777" w:rsidR="00B54227" w:rsidRDefault="00190802">
            <w:pPr>
              <w:ind w:firstLine="28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7.1. pareiškėjai, už subsidijų lėšas įsigiję naujas transporto </w:t>
            </w:r>
            <w:r>
              <w:rPr>
                <w:rFonts w:eastAsia="Calibri"/>
                <w:sz w:val="22"/>
                <w:szCs w:val="22"/>
              </w:rPr>
              <w:t>priemones, naudojamas transporto priemones turės pakeisti įsigytomis senas nurašydami ir sunaikindami (kiek vnt. perka, tiek sunaikina). Naujai įsigyjamų autobusų skaičius turi būti atitikti atiduodamų sunaikinti transporto priemonių ir, pagal Eksploatuoti</w:t>
            </w:r>
            <w:r>
              <w:rPr>
                <w:rFonts w:eastAsia="Calibri"/>
                <w:sz w:val="22"/>
                <w:szCs w:val="22"/>
              </w:rPr>
              <w:t xml:space="preserve"> netinkamų transporto priemonių tvarkymo taisykles, patvirtintas aplinkos ministro 2003 m. gruodžio 24 d. įsakymu Nr. 710 „Dėl Eksploatuoti netinkamų transporto priemonių tvarkymo taisyklių patvirtinimo“, gavęs eksploatuoti netinkamos transporto priemonės </w:t>
            </w:r>
            <w:r>
              <w:rPr>
                <w:rFonts w:eastAsia="Calibri"/>
                <w:sz w:val="22"/>
                <w:szCs w:val="22"/>
              </w:rPr>
              <w:t>sunaikinimo pažymėjimą (toliau – ENTP), šią transporto priemonę išregistravęs iš Lietuvos Respublikos kelių transporto priemonių registro;</w:t>
            </w:r>
          </w:p>
          <w:p w14:paraId="55FBF09C" w14:textId="77777777" w:rsidR="00B54227" w:rsidRDefault="00190802">
            <w:pPr>
              <w:ind w:firstLine="28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7.2. pareiškėjas privalo naudoti transporto priemones nors 5 m., per kuriuos negali jų perleisti, perduoti, parduoti,</w:t>
            </w:r>
            <w:r>
              <w:rPr>
                <w:rFonts w:eastAsia="Calibri"/>
                <w:sz w:val="22"/>
                <w:szCs w:val="22"/>
              </w:rPr>
              <w:t xml:space="preserve"> išnuomoti, įkeisti;</w:t>
            </w:r>
          </w:p>
          <w:p w14:paraId="3D4A638B" w14:textId="77777777" w:rsidR="00B54227" w:rsidRDefault="00190802">
            <w:pPr>
              <w:ind w:firstLine="28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7.3. projekto vykdytojas turi apdrausti projektui įgyvendinti skirtą ilgalaikį</w:t>
            </w:r>
            <w:r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materialųjį turtą, kuris įsigytas ar sukurtas iš projektui skirtų lėšų, maksimaliu turto atkuriamosios vertės draudimu nuo visų galimų rizikų ne trumpesniam</w:t>
            </w:r>
            <w:r>
              <w:rPr>
                <w:rFonts w:eastAsia="Calibri"/>
                <w:sz w:val="22"/>
                <w:szCs w:val="22"/>
              </w:rPr>
              <w:t xml:space="preserve"> kaip 5 metų laikotarpiui;</w:t>
            </w:r>
          </w:p>
          <w:p w14:paraId="69D9A149" w14:textId="77777777" w:rsidR="00B54227" w:rsidRDefault="00190802">
            <w:pPr>
              <w:ind w:firstLine="28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7.4. projekto vykdytojas turi užtikrinti, kad ilgalaikis materialusis turtas, kuris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įsigytas ar sukurtas iš projektui skirtų lėšų, būtų naudojamas ir prižiūrimas vadovaujantis gamintojo rekomendacijomis ir visą 5 metų laikotarpį </w:t>
            </w:r>
            <w:r>
              <w:rPr>
                <w:rFonts w:eastAsia="Calibri"/>
                <w:sz w:val="22"/>
                <w:szCs w:val="22"/>
              </w:rPr>
              <w:t>jo techninė būklė atitiktų teisės aktų reikalavimus;</w:t>
            </w:r>
          </w:p>
          <w:p w14:paraId="5D0D6CE5" w14:textId="77777777" w:rsidR="00B54227" w:rsidRDefault="00190802">
            <w:pPr>
              <w:ind w:firstLine="284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7.5. </w:t>
            </w:r>
            <w:r>
              <w:rPr>
                <w:sz w:val="22"/>
                <w:szCs w:val="22"/>
              </w:rPr>
              <w:t xml:space="preserve">pareiškėjo įsigytų ir Lietuvos teritorijoje naudojamų transporto priemonių suvartojamų degalų ir (ar) energijos balanse iš AEI pagamintų degalų ir (ar) energijos dalis kiekvienais metais, 5-ių metų </w:t>
            </w:r>
            <w:r>
              <w:rPr>
                <w:sz w:val="22"/>
                <w:szCs w:val="22"/>
              </w:rPr>
              <w:t>laikotarpiu, turi sudaryti ne mažiau kaip 10 proc.</w:t>
            </w:r>
          </w:p>
          <w:p w14:paraId="6717854D" w14:textId="77777777" w:rsidR="00B54227" w:rsidRDefault="00190802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7.5.1. degalų balanse iš AEI pagamintų degalų ir (ar) energijos dalis gali būti papildyta fiziniais degalų įmaišymais ir (ar) tiesioginiu elektros energijos naudojimu arba panaudojant AEI kilmės garantijas</w:t>
            </w:r>
            <w:r>
              <w:rPr>
                <w:sz w:val="22"/>
                <w:szCs w:val="22"/>
              </w:rPr>
              <w:t>, kaip numatyta Atsinaujinančių išteklių energetikos įstatymo 28 ir 29 straipsniuose.</w:t>
            </w:r>
          </w:p>
        </w:tc>
      </w:tr>
      <w:tr w:rsidR="00B54227" w14:paraId="183CCFCE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75FC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8.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2710AD" w14:textId="77777777" w:rsidR="00B54227" w:rsidRDefault="00190802">
            <w:pPr>
              <w:suppressAutoHyphens/>
              <w:textAlignment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Paraiškų (finansuotinų projektų) atrinkimas 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B7854D" w14:textId="77777777" w:rsidR="00B54227" w:rsidRDefault="00190802">
            <w:pPr>
              <w:ind w:firstLine="284"/>
              <w:jc w:val="both"/>
              <w:textAlignment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Paraiškas priima, vertina ir atrenka Aplinkos projektų valdymo agentūra (toliau </w:t>
            </w:r>
            <w:r>
              <w:rPr>
                <w:color w:val="000000"/>
                <w:sz w:val="22"/>
                <w:szCs w:val="22"/>
                <w:lang w:eastAsia="lt-LT"/>
              </w:rPr>
              <w:t>– APVA)</w:t>
            </w:r>
            <w:r>
              <w:rPr>
                <w:sz w:val="22"/>
                <w:szCs w:val="22"/>
                <w:lang w:eastAsia="lt-LT"/>
              </w:rPr>
              <w:t xml:space="preserve"> per atvirą, skaidrų procesą užti</w:t>
            </w:r>
            <w:r>
              <w:rPr>
                <w:sz w:val="22"/>
                <w:szCs w:val="22"/>
                <w:lang w:eastAsia="lt-LT"/>
              </w:rPr>
              <w:t xml:space="preserve">krindama laisvą konkurenciją, vienodą ir sąžiningą traktavimą. Projektus vertina, atrenka ir prižiūri APVA vadovaudamasi </w:t>
            </w:r>
            <w:r>
              <w:rPr>
                <w:color w:val="000000"/>
                <w:sz w:val="22"/>
                <w:szCs w:val="22"/>
              </w:rPr>
              <w:t>aplinkos ministro 2010 m. balandžio 6 d. įsakymu Nr. D1-275 „Dėl Klimato kaitos programos lėšų naudojimo tvarkos aprašo patvirtinimo“ i</w:t>
            </w:r>
            <w:r>
              <w:rPr>
                <w:color w:val="000000"/>
                <w:sz w:val="22"/>
                <w:szCs w:val="22"/>
              </w:rPr>
              <w:t>r kitais susijusiais teisės aktais.</w:t>
            </w:r>
          </w:p>
          <w:p w14:paraId="4E81CD9D" w14:textId="77777777" w:rsidR="00B54227" w:rsidRDefault="00190802">
            <w:pPr>
              <w:ind w:firstLine="284"/>
              <w:jc w:val="both"/>
              <w:textAlignment w:val="center"/>
              <w:rPr>
                <w:sz w:val="22"/>
                <w:szCs w:val="22"/>
                <w:lang w:val="en-US"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Paraiškų atrankos būdas – konkursas. Remiantis numatytais atrankos kriterijais – </w:t>
            </w:r>
            <w:r>
              <w:rPr>
                <w:sz w:val="22"/>
                <w:szCs w:val="22"/>
                <w:lang w:val="en-US" w:eastAsia="lt-LT"/>
              </w:rPr>
              <w:t> </w:t>
            </w:r>
            <w:r>
              <w:rPr>
                <w:sz w:val="22"/>
                <w:szCs w:val="22"/>
                <w:lang w:eastAsia="lt-LT"/>
              </w:rPr>
              <w:t>aplinkosauginis efektyvumas (didesni ŠESD sutaupymai per išleistą paramos eurą – daugiau balų);</w:t>
            </w:r>
            <w:r>
              <w:rPr>
                <w:sz w:val="22"/>
                <w:szCs w:val="22"/>
                <w:lang w:val="en-US" w:eastAsia="lt-LT"/>
              </w:rPr>
              <w:t> </w:t>
            </w:r>
            <w:r>
              <w:rPr>
                <w:sz w:val="22"/>
                <w:szCs w:val="22"/>
                <w:lang w:eastAsia="lt-LT"/>
              </w:rPr>
              <w:t>pareiškėjo savarankiško įnašo į projekto f</w:t>
            </w:r>
            <w:r>
              <w:rPr>
                <w:sz w:val="22"/>
                <w:szCs w:val="22"/>
                <w:lang w:eastAsia="lt-LT"/>
              </w:rPr>
              <w:t>inansavimą dydis; 10 papildomų balų skiriama jei pareiškėjas ketina įsigyti tik elektra varomas transporto priemones.</w:t>
            </w:r>
          </w:p>
          <w:p w14:paraId="64B9D66D" w14:textId="77777777" w:rsidR="00B54227" w:rsidRDefault="00190802">
            <w:pPr>
              <w:ind w:firstLine="284"/>
              <w:jc w:val="both"/>
              <w:textAlignment w:val="center"/>
              <w:rPr>
                <w:sz w:val="22"/>
                <w:szCs w:val="22"/>
                <w:lang w:val="en-US"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Su paraiška APVA privalomi pateikti dokumentai:</w:t>
            </w:r>
          </w:p>
          <w:p w14:paraId="4863FDFF" w14:textId="77777777" w:rsidR="00B54227" w:rsidRDefault="00190802">
            <w:pPr>
              <w:ind w:firstLine="284"/>
              <w:jc w:val="both"/>
              <w:textAlignment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 xml:space="preserve">8.1. patvirtintą pareiškėjo įstatų (nuostatų ir (ar) statuto) kopiją, jeigu ši </w:t>
            </w:r>
            <w:r>
              <w:rPr>
                <w:bCs/>
                <w:sz w:val="22"/>
                <w:szCs w:val="22"/>
                <w:lang w:eastAsia="lt-LT"/>
              </w:rPr>
              <w:t>informacija neprieinama viešai ar nepaskelbta registruose; </w:t>
            </w:r>
            <w:r>
              <w:rPr>
                <w:bCs/>
                <w:sz w:val="22"/>
                <w:szCs w:val="22"/>
                <w:lang w:val="en-US" w:eastAsia="lt-LT"/>
              </w:rPr>
              <w:t> </w:t>
            </w:r>
          </w:p>
          <w:p w14:paraId="3F13F6C7" w14:textId="77777777" w:rsidR="00B54227" w:rsidRDefault="00190802">
            <w:pPr>
              <w:ind w:firstLine="284"/>
              <w:jc w:val="both"/>
              <w:textAlignment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8.2. kopiją licencijos, kuria suteikiama teisė verstis keleivių vežimo veikla;</w:t>
            </w:r>
            <w:r>
              <w:rPr>
                <w:bCs/>
                <w:sz w:val="22"/>
                <w:szCs w:val="22"/>
                <w:lang w:val="en-US" w:eastAsia="lt-LT"/>
              </w:rPr>
              <w:t> </w:t>
            </w:r>
          </w:p>
          <w:p w14:paraId="7BEF13A5" w14:textId="77777777" w:rsidR="00B54227" w:rsidRDefault="00190802">
            <w:pPr>
              <w:ind w:firstLine="284"/>
              <w:jc w:val="both"/>
              <w:textAlignment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8.3. detalią numatomos pirkti įrangos techninę specifikaciją (planuojamų įsigyti transporto priemonių aprašymą; tec</w:t>
            </w:r>
            <w:r>
              <w:rPr>
                <w:bCs/>
                <w:sz w:val="22"/>
                <w:szCs w:val="22"/>
                <w:lang w:eastAsia="lt-LT"/>
              </w:rPr>
              <w:t>hnines charakteristikas; transporto priemonių skaičių, preliminarias kainas ir pan.);</w:t>
            </w:r>
          </w:p>
          <w:p w14:paraId="1DD19B9A" w14:textId="77777777" w:rsidR="00B54227" w:rsidRDefault="00190802">
            <w:pPr>
              <w:ind w:firstLine="284"/>
              <w:jc w:val="both"/>
              <w:textAlignment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8.4. finansavimo šaltinius pagrindžiančius dokumentus (banko ar kitos kredito įstaigos paskola, lizingas, pareiškėjo nuosavos lėšos arba deklaracija, kokie finansavimo ša</w:t>
            </w:r>
            <w:r>
              <w:rPr>
                <w:bCs/>
                <w:sz w:val="22"/>
                <w:szCs w:val="22"/>
                <w:lang w:eastAsia="lt-LT"/>
              </w:rPr>
              <w:t>ltiniai ir kokiu būdu bus gaunami);</w:t>
            </w:r>
            <w:r>
              <w:rPr>
                <w:bCs/>
                <w:sz w:val="22"/>
                <w:szCs w:val="22"/>
                <w:lang w:val="en-US" w:eastAsia="lt-LT"/>
              </w:rPr>
              <w:t> </w:t>
            </w:r>
          </w:p>
          <w:p w14:paraId="0D4B23C3" w14:textId="77777777" w:rsidR="00B54227" w:rsidRDefault="00190802">
            <w:pPr>
              <w:ind w:firstLine="284"/>
              <w:jc w:val="both"/>
              <w:textAlignment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8.5. dokumentus, pagrindžiančius projekto biudžetą (sudarytos pirkimo sutartys, komerciniai pasiūlymai, nuorodos į rinkoje esančias kainas ir kainininkus ar kt.);</w:t>
            </w:r>
          </w:p>
          <w:p w14:paraId="16A7A7E4" w14:textId="77777777" w:rsidR="00B54227" w:rsidRDefault="00190802">
            <w:pPr>
              <w:ind w:firstLine="284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lt-LT"/>
              </w:rPr>
              <w:t xml:space="preserve">8.6. </w:t>
            </w:r>
            <w:r>
              <w:rPr>
                <w:color w:val="000000"/>
                <w:sz w:val="22"/>
                <w:szCs w:val="22"/>
              </w:rPr>
              <w:t>įmonės statusą pagrindžiantys dokumentai;</w:t>
            </w:r>
          </w:p>
          <w:p w14:paraId="38E08436" w14:textId="77777777" w:rsidR="00B54227" w:rsidRDefault="00190802">
            <w:pPr>
              <w:ind w:firstLine="284"/>
              <w:jc w:val="both"/>
              <w:textAlignment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</w:rPr>
              <w:t>8.7. kiti</w:t>
            </w:r>
            <w:r>
              <w:rPr>
                <w:color w:val="000000"/>
                <w:sz w:val="22"/>
                <w:szCs w:val="22"/>
              </w:rPr>
              <w:t xml:space="preserve"> kvietime teikti paraiškas nurodyti dokumentai.</w:t>
            </w:r>
          </w:p>
        </w:tc>
      </w:tr>
      <w:tr w:rsidR="00B54227" w14:paraId="4FEA9494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CD08C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9.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D98C56" w14:textId="77777777" w:rsidR="00B54227" w:rsidRDefault="00190802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Subsidijų gavėjai (pareiškėjai)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E99449" w14:textId="77777777" w:rsidR="00B54227" w:rsidRDefault="00190802">
            <w:pPr>
              <w:suppressAutoHyphens/>
              <w:ind w:firstLine="284"/>
              <w:jc w:val="both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Subsidijos Klimato kaitos programos lėšomis galės būti teikiamos: </w:t>
            </w:r>
            <w:r>
              <w:rPr>
                <w:sz w:val="22"/>
                <w:szCs w:val="22"/>
              </w:rPr>
              <w:t>miesto ir priemiestinio viešojo transporto savivaldybių teritorijoje keleivių vežimo veiklą vykdantiems j</w:t>
            </w:r>
            <w:r>
              <w:rPr>
                <w:sz w:val="22"/>
                <w:szCs w:val="22"/>
              </w:rPr>
              <w:t>uridiniams asmenims, turintiems teisę vežti keleivius kompetentingų įstaigų (</w:t>
            </w:r>
            <w:r>
              <w:rPr>
                <w:i/>
                <w:iCs/>
                <w:sz w:val="22"/>
                <w:szCs w:val="22"/>
              </w:rPr>
              <w:t>išduodančių leidimus vežti keleivius reguliaraus susisiekimo kelių transporto maršrutais: vietinio (miesto ar priemiestinio) reguliaraus susisiekimo – atitinkamos savivaldybės ins</w:t>
            </w:r>
            <w:r>
              <w:rPr>
                <w:i/>
                <w:iCs/>
                <w:sz w:val="22"/>
                <w:szCs w:val="22"/>
              </w:rPr>
              <w:t>titucijų arba jos įgaliotų įstaigų) </w:t>
            </w:r>
            <w:r>
              <w:rPr>
                <w:sz w:val="22"/>
                <w:szCs w:val="22"/>
              </w:rPr>
              <w:t xml:space="preserve">nustatytais reguliariojo susisiekimo maršrutais (vežėju gali būti ir juridiniams asmenims, kurių veikla finansuojama iš valstybės ar savivaldybių biudžetų arba kitų valstybės ar savivaldybių fondų lėšų, arba </w:t>
            </w:r>
            <w:r>
              <w:rPr>
                <w:sz w:val="22"/>
                <w:szCs w:val="22"/>
                <w:shd w:val="clear" w:color="auto" w:fill="FFFFFF"/>
              </w:rPr>
              <w:t>kontroliuoja</w:t>
            </w:r>
            <w:r>
              <w:rPr>
                <w:sz w:val="22"/>
                <w:szCs w:val="22"/>
                <w:shd w:val="clear" w:color="auto" w:fill="FFFFFF"/>
              </w:rPr>
              <w:t>ma (valdoma) valstybės ar savivaldybių institucijų), su kuriomis sudarytos viešųjų paslaugų teikimo sutartys</w:t>
            </w:r>
            <w:r>
              <w:rPr>
                <w:sz w:val="22"/>
                <w:szCs w:val="22"/>
              </w:rPr>
              <w:t>.  </w:t>
            </w:r>
          </w:p>
        </w:tc>
      </w:tr>
      <w:tr w:rsidR="00B54227" w14:paraId="7DBF5F6E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C65B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10.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90940A" w14:textId="77777777" w:rsidR="00B54227" w:rsidRDefault="00190802">
            <w:pPr>
              <w:suppressAutoHyphens/>
              <w:textAlignment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Remiamas sektorius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8BE43A" w14:textId="77777777" w:rsidR="00B54227" w:rsidRDefault="00190802">
            <w:pPr>
              <w:ind w:firstLine="17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Transporto sektorius.</w:t>
            </w:r>
          </w:p>
        </w:tc>
      </w:tr>
      <w:tr w:rsidR="00B54227" w14:paraId="5440DAF6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D016A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11.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EBFC20" w14:textId="77777777" w:rsidR="00B54227" w:rsidRDefault="00190802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Finansavimo dydis vienam </w:t>
            </w:r>
            <w:r>
              <w:rPr>
                <w:color w:val="000000"/>
                <w:sz w:val="22"/>
                <w:szCs w:val="22"/>
              </w:rPr>
              <w:t>pareiškėjui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342F72" w14:textId="77777777" w:rsidR="00B54227" w:rsidRDefault="00190802">
            <w:pPr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- 55 % tinkamų finansuoti išlaidų, kai pagalba </w:t>
            </w:r>
            <w:r>
              <w:rPr>
                <w:sz w:val="22"/>
                <w:szCs w:val="22"/>
                <w:lang w:eastAsia="lt-LT"/>
              </w:rPr>
              <w:t>teikiama didelėms įmonėms;</w:t>
            </w:r>
          </w:p>
          <w:p w14:paraId="0F0CD766" w14:textId="77777777" w:rsidR="00B54227" w:rsidRDefault="00190802">
            <w:pPr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- 60 % tinkamų finansuoti išlaidų, kai pagalba teikiama mažosioms ir vidutinėms įmonėms.</w:t>
            </w:r>
          </w:p>
          <w:p w14:paraId="7AB01342" w14:textId="77777777" w:rsidR="00B54227" w:rsidRDefault="00190802">
            <w:pPr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Maksimalus subsidijos dydis vienam pareiškėjui yra 10</w:t>
            </w:r>
            <w:r>
              <w:rPr>
                <w:bCs/>
                <w:sz w:val="22"/>
                <w:szCs w:val="22"/>
                <w:lang w:eastAsia="lt-LT"/>
              </w:rPr>
              <w:t xml:space="preserve"> mln.</w:t>
            </w:r>
            <w:r>
              <w:rPr>
                <w:sz w:val="22"/>
                <w:szCs w:val="22"/>
                <w:lang w:eastAsia="lt-LT"/>
              </w:rPr>
              <w:t xml:space="preserve"> eurų. </w:t>
            </w:r>
          </w:p>
          <w:p w14:paraId="4FDFB573" w14:textId="77777777" w:rsidR="00B54227" w:rsidRDefault="00190802">
            <w:pPr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 xml:space="preserve">Bendras išmetamų šiltnamio efektą sukeliančių dujų kiekio </w:t>
            </w:r>
            <w:r>
              <w:rPr>
                <w:sz w:val="22"/>
                <w:szCs w:val="22"/>
                <w:lang w:eastAsia="lt-LT"/>
              </w:rPr>
              <w:t>sumažinimas per projekto vertinamąjį laikotarpį apskaičiuojamas pagal Išmetamų šiltnamio efektą sukeliančių dujų kiekio sumažinimo vertinimo metodiką (Tvarkos aprašo 2 priedas).                       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</w:tr>
      <w:tr w:rsidR="00B54227" w14:paraId="72CDE317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CF591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lastRenderedPageBreak/>
              <w:t xml:space="preserve">12.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05B297" w14:textId="77777777" w:rsidR="00B54227" w:rsidRDefault="00190802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Projektų priežiūra ir </w:t>
            </w:r>
            <w:r>
              <w:rPr>
                <w:color w:val="000000"/>
                <w:sz w:val="22"/>
                <w:szCs w:val="22"/>
                <w:lang w:eastAsia="lt-LT"/>
              </w:rPr>
              <w:t>administravimas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A10873" w14:textId="77777777" w:rsidR="00B54227" w:rsidRDefault="00190802">
            <w:pPr>
              <w:ind w:firstLine="284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Projektus APVA prižiūri ir administruoja vadovaudamasi aplinkos ministro 2010 m. balandžio 6 d. įsakymu Nr. D1-275 „Dėl Klimato kaitos programos lėšų naudojimo tvarkos aprašo patvirtinimo“ ir kitais susijusiais teisės aktais.</w:t>
            </w:r>
          </w:p>
        </w:tc>
      </w:tr>
      <w:tr w:rsidR="00B54227" w14:paraId="276C9E97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D5DA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13.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51E6A2" w14:textId="77777777" w:rsidR="00B54227" w:rsidRDefault="00190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Pagalbos sumavimas, suteikimo kontrolė ir stebėsena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09B7E8" w14:textId="77777777" w:rsidR="00B54227" w:rsidRDefault="00190802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Investicijoms iš Klimato kaitos programos taikomos Reglamento Nr. 651/2014 8 straipsnio nuostatos.</w:t>
            </w:r>
          </w:p>
          <w:p w14:paraId="63E11E10" w14:textId="77777777" w:rsidR="00B54227" w:rsidRDefault="00190802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APVA pagalbos skaičiavimus, suteikimo kontrolę ir stebėseną vykdo, saugo dokumentus apie suteiktą pagalbą</w:t>
            </w:r>
            <w:r>
              <w:rPr>
                <w:sz w:val="22"/>
                <w:szCs w:val="22"/>
              </w:rPr>
              <w:t xml:space="preserve"> pagal Reglamento Nr. 651/2014 7 ir 12 straipsnio nuostatas. </w:t>
            </w:r>
          </w:p>
          <w:p w14:paraId="4E4B4366" w14:textId="77777777" w:rsidR="00B54227" w:rsidRDefault="00190802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APVA teisės aktų nustatyta tvarka skiriamą finansavimo sumą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Suteiktos valstybės pagalbos ir nereikšmingos (</w:t>
            </w:r>
            <w:r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>
              <w:rPr>
                <w:i/>
                <w:iCs/>
                <w:sz w:val="22"/>
                <w:szCs w:val="22"/>
              </w:rPr>
              <w:t>minimis</w:t>
            </w:r>
            <w:proofErr w:type="spellEnd"/>
            <w:r>
              <w:rPr>
                <w:sz w:val="22"/>
                <w:szCs w:val="22"/>
              </w:rPr>
              <w:t>) pagalbos registre registruoja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vadovaudamasi Suteiktos valstybės pagalbos ir</w:t>
            </w:r>
            <w:r>
              <w:rPr>
                <w:sz w:val="22"/>
                <w:szCs w:val="22"/>
              </w:rPr>
              <w:t xml:space="preserve"> nereikšmingos (</w:t>
            </w:r>
            <w:r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>
              <w:rPr>
                <w:i/>
                <w:iCs/>
                <w:sz w:val="22"/>
                <w:szCs w:val="22"/>
              </w:rPr>
              <w:t>minimis</w:t>
            </w:r>
            <w:proofErr w:type="spellEnd"/>
            <w:r>
              <w:rPr>
                <w:sz w:val="22"/>
                <w:szCs w:val="22"/>
              </w:rPr>
              <w:t>) pagalbos registro nuostatais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  <w:r>
              <w:rPr>
                <w:sz w:val="22"/>
                <w:szCs w:val="22"/>
              </w:rPr>
              <w:t xml:space="preserve"> ir Suteiktos valstybės pagalbos ir nereikšmingos (</w:t>
            </w:r>
            <w:r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>
              <w:rPr>
                <w:i/>
                <w:iCs/>
                <w:sz w:val="22"/>
                <w:szCs w:val="22"/>
              </w:rPr>
              <w:t>minimis</w:t>
            </w:r>
            <w:proofErr w:type="spellEnd"/>
            <w:r>
              <w:rPr>
                <w:sz w:val="22"/>
                <w:szCs w:val="22"/>
              </w:rPr>
              <w:t>) pagalbos duomenų tvarkymo taisyklėmis</w:t>
            </w:r>
            <w:r>
              <w:rPr>
                <w:sz w:val="22"/>
                <w:szCs w:val="22"/>
                <w:vertAlign w:val="superscript"/>
              </w:rPr>
              <w:footnoteReference w:id="3"/>
            </w:r>
            <w:r>
              <w:rPr>
                <w:sz w:val="22"/>
                <w:szCs w:val="22"/>
              </w:rPr>
              <w:t>.</w:t>
            </w:r>
          </w:p>
          <w:p w14:paraId="38657600" w14:textId="77777777" w:rsidR="00B54227" w:rsidRDefault="00190802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Vadovaujantis Reglamento Nr. 651/2014 9 straipsnio reikalavimais (kai skirta pagalbos suma vir</w:t>
            </w:r>
            <w:r>
              <w:rPr>
                <w:sz w:val="22"/>
                <w:szCs w:val="22"/>
              </w:rPr>
              <w:t>šija 500 000 Eur), informaciją dėl suteiktų valstybės pagalbos sumų Aplinkos ministerija per šešis mėnesius nuo pagalbos suteikimo dienos skelbia Valstybės pagalbos skaidrumo svetainėje.</w:t>
            </w:r>
          </w:p>
        </w:tc>
      </w:tr>
      <w:tr w:rsidR="00B54227" w14:paraId="62B262DF" w14:textId="77777777">
        <w:trPr>
          <w:trHeight w:val="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D05D" w14:textId="77777777" w:rsidR="00B54227" w:rsidRDefault="00190802">
            <w:pPr>
              <w:tabs>
                <w:tab w:val="left" w:pos="426"/>
              </w:tabs>
              <w:ind w:left="142"/>
              <w:textAlignment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14.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A23A87" w14:textId="77777777" w:rsidR="00B54227" w:rsidRDefault="00190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Netinkamos investicijos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AC3677" w14:textId="77777777" w:rsidR="00B54227" w:rsidRDefault="00190802">
            <w:pPr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Netinkamomis finansuoti išlaidomis laik</w:t>
            </w:r>
            <w:r>
              <w:rPr>
                <w:sz w:val="22"/>
                <w:szCs w:val="22"/>
              </w:rPr>
              <w:t>omos investicijos, nurodytos Reglamento Nr. 651/2014 1 straipsnio 2–5 dalyse ir aplinkos ministro 2010 m. balandžio 6 d. įsakymu Nr. D1-275 „Dėl Klimato kaitos programos lėšų naudojimo tvarkos aprašo patvirtinimo“ patvirtintame Klimato kaitos programos lėš</w:t>
            </w:r>
            <w:r>
              <w:rPr>
                <w:sz w:val="22"/>
                <w:szCs w:val="22"/>
              </w:rPr>
              <w:t>ų naudojimo tvarkos aprašo 66 punkte.</w:t>
            </w:r>
          </w:p>
        </w:tc>
      </w:tr>
    </w:tbl>
    <w:p w14:paraId="7087F793" w14:textId="77777777" w:rsidR="00B54227" w:rsidRDefault="00B54227">
      <w:pPr>
        <w:suppressAutoHyphens/>
        <w:jc w:val="both"/>
        <w:textAlignment w:val="center"/>
        <w:rPr>
          <w:color w:val="000000"/>
          <w:sz w:val="20"/>
        </w:rPr>
      </w:pPr>
    </w:p>
    <w:p w14:paraId="2B31B831" w14:textId="77777777" w:rsidR="00B54227" w:rsidRDefault="00190802">
      <w:pPr>
        <w:suppressAutoHyphens/>
        <w:jc w:val="center"/>
        <w:textAlignment w:val="center"/>
      </w:pPr>
      <w:r>
        <w:rPr>
          <w:color w:val="000000"/>
          <w:sz w:val="12"/>
          <w:szCs w:val="12"/>
        </w:rPr>
        <w:t>_____________________________________________</w:t>
      </w:r>
    </w:p>
    <w:p w14:paraId="2D73F7F5" w14:textId="77777777" w:rsidR="00B54227" w:rsidRDefault="00190802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54FC48C5" w14:textId="77777777" w:rsidR="00B54227" w:rsidRDefault="00190802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D1-423</w:t>
        </w:r>
      </w:hyperlink>
      <w:r>
        <w:rPr>
          <w:rFonts w:eastAsia="MS Mincho"/>
          <w:i/>
          <w:iCs/>
          <w:sz w:val="20"/>
        </w:rPr>
        <w:t>, 2020-07-15, paskelbta TAR 2020-07-16, i. k. 2020-15860</w:t>
      </w:r>
    </w:p>
    <w:p w14:paraId="6D809471" w14:textId="77777777" w:rsidR="00B54227" w:rsidRDefault="00B54227"/>
    <w:p w14:paraId="78CB9BF2" w14:textId="77777777" w:rsidR="00B54227" w:rsidRDefault="00B54227">
      <w:pPr>
        <w:jc w:val="both"/>
        <w:rPr>
          <w:b/>
          <w:sz w:val="20"/>
        </w:rPr>
      </w:pPr>
    </w:p>
    <w:p w14:paraId="362A9E82" w14:textId="77777777" w:rsidR="00B54227" w:rsidRDefault="00B54227">
      <w:pPr>
        <w:jc w:val="both"/>
        <w:rPr>
          <w:b/>
          <w:sz w:val="20"/>
        </w:rPr>
      </w:pPr>
    </w:p>
    <w:p w14:paraId="1C0FA3FD" w14:textId="77777777" w:rsidR="00B54227" w:rsidRDefault="00190802">
      <w:pPr>
        <w:jc w:val="both"/>
        <w:rPr>
          <w:b/>
        </w:rPr>
      </w:pPr>
      <w:r>
        <w:rPr>
          <w:b/>
          <w:sz w:val="20"/>
        </w:rPr>
        <w:t>Pakeitimai:</w:t>
      </w:r>
    </w:p>
    <w:p w14:paraId="1F12F4AF" w14:textId="77777777" w:rsidR="00B54227" w:rsidRDefault="00B54227">
      <w:pPr>
        <w:jc w:val="both"/>
        <w:rPr>
          <w:sz w:val="20"/>
        </w:rPr>
      </w:pPr>
    </w:p>
    <w:p w14:paraId="354193E6" w14:textId="77777777" w:rsidR="00B54227" w:rsidRDefault="00190802">
      <w:pPr>
        <w:jc w:val="both"/>
      </w:pPr>
      <w:r>
        <w:rPr>
          <w:sz w:val="20"/>
        </w:rPr>
        <w:t>1.</w:t>
      </w:r>
    </w:p>
    <w:p w14:paraId="2FD3AC7B" w14:textId="77777777" w:rsidR="00B54227" w:rsidRDefault="00190802">
      <w:pPr>
        <w:jc w:val="both"/>
      </w:pPr>
      <w:r>
        <w:rPr>
          <w:sz w:val="20"/>
        </w:rPr>
        <w:t>Lietuvos Respublikos aplinkos ministerija, Įsakymas</w:t>
      </w:r>
    </w:p>
    <w:p w14:paraId="668CC0ED" w14:textId="77777777" w:rsidR="00B54227" w:rsidRDefault="00190802">
      <w:pPr>
        <w:jc w:val="both"/>
      </w:pPr>
      <w:r>
        <w:rPr>
          <w:sz w:val="20"/>
        </w:rPr>
        <w:t xml:space="preserve">Nr. </w:t>
      </w:r>
      <w:hyperlink r:id="rId18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D1-423</w:t>
        </w:r>
      </w:hyperlink>
      <w:r>
        <w:rPr>
          <w:rFonts w:eastAsia="MS Mincho"/>
          <w:iCs/>
          <w:sz w:val="20"/>
        </w:rPr>
        <w:t>, 2020-07-15, paskelbta TAR 2020-07-16, i. k. 2020-15860</w:t>
      </w:r>
    </w:p>
    <w:p w14:paraId="40D2208F" w14:textId="77777777" w:rsidR="00B54227" w:rsidRDefault="00190802">
      <w:pPr>
        <w:jc w:val="both"/>
      </w:pPr>
      <w:r>
        <w:rPr>
          <w:sz w:val="20"/>
        </w:rPr>
        <w:t>Dėl Lietuvos Respublikos aplinkos ministro 2020 m. gegužės 26 d. įsakymo Nr. D1-302 „Dėl klimato kaitos programos pri</w:t>
      </w:r>
      <w:r>
        <w:rPr>
          <w:sz w:val="20"/>
        </w:rPr>
        <w:t xml:space="preserve">emonės „Miesto ir priemiestinio viešojo transporto priemonių parko atnaujinimas skatinant naudoti elektra, </w:t>
      </w:r>
      <w:proofErr w:type="spellStart"/>
      <w:r>
        <w:rPr>
          <w:sz w:val="20"/>
        </w:rPr>
        <w:t>biometanu</w:t>
      </w:r>
      <w:proofErr w:type="spellEnd"/>
      <w:r>
        <w:rPr>
          <w:sz w:val="20"/>
        </w:rPr>
        <w:t>, suslėgtomis gamtinėmis dujomis, suskystintomis gamtinėmis dujomis varomas transporto priemones“ valstybės pagalbos schemos patvirtinimo“ p</w:t>
      </w:r>
      <w:r>
        <w:rPr>
          <w:sz w:val="20"/>
        </w:rPr>
        <w:t>akeitimo</w:t>
      </w:r>
    </w:p>
    <w:p w14:paraId="5837ED55" w14:textId="77777777" w:rsidR="00B54227" w:rsidRDefault="00B54227">
      <w:pPr>
        <w:jc w:val="both"/>
        <w:rPr>
          <w:sz w:val="20"/>
        </w:rPr>
      </w:pPr>
    </w:p>
    <w:p w14:paraId="7498B87B" w14:textId="77777777" w:rsidR="00B54227" w:rsidRDefault="00B54227">
      <w:pPr>
        <w:widowControl w:val="0"/>
        <w:rPr>
          <w:snapToGrid w:val="0"/>
        </w:rPr>
      </w:pPr>
    </w:p>
    <w:sectPr w:rsidR="00B542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013B5" w14:textId="77777777" w:rsidR="00190802" w:rsidRDefault="0019080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E843A4D" w14:textId="77777777" w:rsidR="00190802" w:rsidRDefault="0019080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3DF8" w14:textId="77777777" w:rsidR="00B54227" w:rsidRDefault="00B54227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07741" w14:textId="77777777" w:rsidR="00B54227" w:rsidRDefault="00B54227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C834" w14:textId="77777777" w:rsidR="00B54227" w:rsidRDefault="00B54227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9F82" w14:textId="77777777" w:rsidR="00190802" w:rsidRDefault="0019080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C5F30CE" w14:textId="77777777" w:rsidR="00190802" w:rsidRDefault="00190802">
      <w:pPr>
        <w:rPr>
          <w:szCs w:val="24"/>
        </w:rPr>
      </w:pPr>
      <w:r>
        <w:rPr>
          <w:szCs w:val="24"/>
        </w:rPr>
        <w:continuationSeparator/>
      </w:r>
    </w:p>
  </w:footnote>
  <w:footnote w:id="1">
    <w:p w14:paraId="68A6D645" w14:textId="77777777" w:rsidR="00B54227" w:rsidRDefault="00190802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OL 2017 L 156, p. 1.</w:t>
      </w:r>
    </w:p>
  </w:footnote>
  <w:footnote w:id="2">
    <w:p w14:paraId="6377114C" w14:textId="77777777" w:rsidR="00B54227" w:rsidRDefault="00190802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20"/>
        </w:rPr>
        <w:t>Patvirtintais Lietuvos Respublikos Vyriausybės 2005 m. sausio 19 d. nutarimu Nr. 35 „Dėl Suteiktos valstybės pagalbos ir nereikšmingos (</w:t>
      </w:r>
      <w:r>
        <w:rPr>
          <w:i/>
          <w:iCs/>
          <w:sz w:val="20"/>
        </w:rPr>
        <w:t xml:space="preserve">de </w:t>
      </w:r>
      <w:proofErr w:type="spellStart"/>
      <w:r>
        <w:rPr>
          <w:i/>
          <w:iCs/>
          <w:sz w:val="20"/>
        </w:rPr>
        <w:t>minimis</w:t>
      </w:r>
      <w:proofErr w:type="spellEnd"/>
      <w:r>
        <w:rPr>
          <w:sz w:val="20"/>
        </w:rPr>
        <w:t>) pagalbos registro nuostatų patvirtinimo“.</w:t>
      </w:r>
    </w:p>
  </w:footnote>
  <w:footnote w:id="3">
    <w:p w14:paraId="69DF7097" w14:textId="77777777" w:rsidR="00B54227" w:rsidRDefault="00190802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20"/>
        </w:rPr>
        <w:t xml:space="preserve">Patvirtintomis Lietuvos </w:t>
      </w:r>
      <w:r>
        <w:rPr>
          <w:sz w:val="20"/>
        </w:rPr>
        <w:t>Respublikos konkurencijos tarybos 2015 m. lapkričio 13 d. nutarimu Nr. 1S-120/2015 „Dėl Suteiktos valstybės pagalbos ir nereikšmingos (</w:t>
      </w:r>
      <w:r>
        <w:rPr>
          <w:i/>
          <w:iCs/>
          <w:sz w:val="20"/>
        </w:rPr>
        <w:t xml:space="preserve">de </w:t>
      </w:r>
      <w:proofErr w:type="spellStart"/>
      <w:r>
        <w:rPr>
          <w:i/>
          <w:iCs/>
          <w:sz w:val="20"/>
        </w:rPr>
        <w:t>minimis</w:t>
      </w:r>
      <w:proofErr w:type="spellEnd"/>
      <w:r>
        <w:rPr>
          <w:sz w:val="20"/>
        </w:rPr>
        <w:t>) pagalbos duomenų tvarkymo taisyklių patvirtinimo“.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1016F" w14:textId="77777777" w:rsidR="00B54227" w:rsidRDefault="00B54227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1F73" w14:textId="77777777" w:rsidR="00B54227" w:rsidRDefault="00190802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0DA77757" w14:textId="77777777" w:rsidR="00B54227" w:rsidRDefault="00B54227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98A30" w14:textId="77777777" w:rsidR="00B54227" w:rsidRDefault="00B54227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E5"/>
    <w:rsid w:val="00190802"/>
    <w:rsid w:val="00835CFD"/>
    <w:rsid w:val="00AD37E5"/>
    <w:rsid w:val="00B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ED87A"/>
  <w15:docId w15:val="{1832E55C-17AB-4653-B3EF-C0CDB9FC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e-tar.lt/portal/legalAct.html?documentId=822737d0c75411ea997c9ee767e856b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e-tar.lt/portal/legalAct.html?documentId=822737d0c75411ea997c9ee767e856b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>
    <LikesCount xmlns="http://schemas.microsoft.com/sharepoint/v3" xmlns:xsi="http://www.w3.org/2001/XMLSchema-instance" xsi:nil="true"/>
    <Ratings xmlns="http://schemas.microsoft.com/sharepoint/v3" xmlns:xsi="http://www.w3.org/2001/XMLSchema-instance" xsi:nil="true"/>
    <LikedBy xmlns="http://schemas.microsoft.com/sharepoint/v3">
      <UserInfo>
        <DisplayName/>
        <AccountId xmlns:xsi="http://www.w3.org/2001/XMLSchema-instance" xsi:nil="true"/>
        <AccountType/>
      </UserInfo>
    </LikedBy>
    <RatedBy xmlns="http://schemas.microsoft.com/sharepoint/v3">
      <UserInfo>
        <DisplayName/>
        <AccountId xmlns:xsi="http://www.w3.org/2001/XMLSchema-instance" xsi:nil="true"/>
        <AccountType/>
      </UserInfo>
    </RatedBy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4AB5-36A8-4F1E-B5DC-39C04CDF8F8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C9E035-5534-4433-80F7-7763389B6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B3150-74C3-4F75-9A2E-81D34DB4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f5aad5d0-9c26-490e-8743-a6c7ceabd501"/>
    <ds:schemaRef ds:uri="19cf09c5-daa1-4028-a0ff-74a0be4ec5cc"/>
  </ds:schemaRefs>
</ds:datastoreItem>
</file>

<file path=customXml/itemProps4.xml><?xml version="1.0" encoding="utf-8"?>
<ds:datastoreItem xmlns:ds="http://schemas.openxmlformats.org/officeDocument/2006/customXml" ds:itemID="{F4C8A012-A222-4D23-A1CB-DA61D654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8968</Words>
  <Characters>5112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ŪKIO MINISTRO</vt:lpstr>
    </vt:vector>
  </TitlesOfParts>
  <Company>SPecialiST RePack</Company>
  <LinksUpToDate>false</LinksUpToDate>
  <CharactersWithSpaces>14052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MINISTRO</dc:title>
  <dc:creator>Seimas</dc:creator>
  <cp:lastModifiedBy>Indrė Kapusčytė-Lukoševičienė</cp:lastModifiedBy>
  <cp:revision>2</cp:revision>
  <cp:lastPrinted>2017-08-24T12:21:00Z</cp:lastPrinted>
  <dcterms:created xsi:type="dcterms:W3CDTF">2020-08-03T12:13:00Z</dcterms:created>
  <dcterms:modified xsi:type="dcterms:W3CDTF">2020-08-03T12:13:00Z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