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E642" w14:textId="77777777" w:rsidR="00E127A1" w:rsidRDefault="003562BD">
      <w:pPr>
        <w:suppressAutoHyphens/>
        <w:ind w:left="5670"/>
        <w:textAlignment w:val="baseline"/>
        <w:rPr>
          <w:bCs/>
          <w:szCs w:val="24"/>
          <w:lang w:eastAsia="lt-LT"/>
        </w:rPr>
      </w:pPr>
      <w:r>
        <w:rPr>
          <w:bCs/>
          <w:szCs w:val="24"/>
          <w:lang w:eastAsia="lt-LT"/>
        </w:rPr>
        <w:t>Sąjungos šiltnamio efektą sukeliančių dujų registro naudojimo taisyklių</w:t>
      </w:r>
    </w:p>
    <w:p w14:paraId="67856C68" w14:textId="77777777" w:rsidR="00E127A1" w:rsidRDefault="003562BD">
      <w:pPr>
        <w:suppressAutoHyphens/>
        <w:ind w:left="5670"/>
        <w:textAlignment w:val="baseline"/>
      </w:pPr>
      <w:r>
        <w:rPr>
          <w:bCs/>
          <w:szCs w:val="24"/>
          <w:lang w:eastAsia="lt-LT"/>
        </w:rPr>
        <w:t xml:space="preserve">9 priedas </w:t>
      </w:r>
    </w:p>
    <w:p w14:paraId="049CCA58" w14:textId="77777777" w:rsidR="00E127A1" w:rsidRDefault="00E127A1">
      <w:pPr>
        <w:suppressAutoHyphens/>
        <w:ind w:left="4320" w:firstLine="720"/>
        <w:textAlignment w:val="baseline"/>
        <w:rPr>
          <w:color w:val="000000"/>
          <w:szCs w:val="24"/>
          <w:lang w:eastAsia="lt-LT"/>
        </w:rPr>
      </w:pPr>
    </w:p>
    <w:p w14:paraId="0E0B4F6A" w14:textId="77777777" w:rsidR="00E127A1" w:rsidRDefault="003562BD">
      <w:pPr>
        <w:suppressAutoHyphens/>
        <w:jc w:val="center"/>
        <w:textAlignment w:val="baseline"/>
      </w:pPr>
      <w:r>
        <w:rPr>
          <w:color w:val="000000"/>
          <w:szCs w:val="24"/>
          <w:lang w:eastAsia="lt-LT"/>
        </w:rPr>
        <w:t>(</w:t>
      </w:r>
      <w:r>
        <w:rPr>
          <w:b/>
          <w:bCs/>
          <w:color w:val="000000"/>
          <w:szCs w:val="24"/>
          <w:lang w:eastAsia="lt-LT"/>
        </w:rPr>
        <w:t>Sąskaitos tvarkymo s</w:t>
      </w:r>
      <w:r>
        <w:rPr>
          <w:b/>
          <w:color w:val="000000"/>
          <w:szCs w:val="24"/>
          <w:lang w:eastAsia="lt-LT"/>
        </w:rPr>
        <w:t>utarties forma</w:t>
      </w:r>
      <w:r>
        <w:rPr>
          <w:color w:val="000000"/>
          <w:szCs w:val="24"/>
          <w:lang w:eastAsia="lt-LT"/>
        </w:rPr>
        <w:t>)</w:t>
      </w:r>
    </w:p>
    <w:p w14:paraId="62F246E2" w14:textId="77777777" w:rsidR="00E127A1" w:rsidRDefault="00E127A1">
      <w:pPr>
        <w:suppressAutoHyphens/>
        <w:jc w:val="center"/>
        <w:textAlignment w:val="baseline"/>
        <w:rPr>
          <w:color w:val="000000"/>
          <w:szCs w:val="24"/>
          <w:lang w:eastAsia="lt-LT"/>
        </w:rPr>
      </w:pPr>
    </w:p>
    <w:p w14:paraId="039640D8" w14:textId="77777777" w:rsidR="00E127A1" w:rsidRDefault="003562BD">
      <w:pPr>
        <w:suppressAutoHyphens/>
        <w:jc w:val="center"/>
        <w:textAlignment w:val="baseline"/>
      </w:pPr>
      <w:r>
        <w:rPr>
          <w:b/>
          <w:bCs/>
          <w:color w:val="000000"/>
          <w:szCs w:val="24"/>
          <w:lang w:eastAsia="lt-LT"/>
        </w:rPr>
        <w:t>SĄSKAITOS TVARKYMO SUTARTIS NR.</w:t>
      </w:r>
    </w:p>
    <w:p w14:paraId="364251CC" w14:textId="77777777" w:rsidR="00E127A1" w:rsidRDefault="00E127A1">
      <w:pPr>
        <w:suppressAutoHyphens/>
        <w:jc w:val="center"/>
        <w:textAlignment w:val="baseline"/>
        <w:rPr>
          <w:color w:val="000000"/>
          <w:szCs w:val="24"/>
          <w:lang w:eastAsia="lt-LT"/>
        </w:rPr>
      </w:pPr>
    </w:p>
    <w:p w14:paraId="2948C2D9" w14:textId="2B38339C" w:rsidR="00E127A1" w:rsidRDefault="003562BD">
      <w:pPr>
        <w:suppressAutoHyphens/>
        <w:jc w:val="center"/>
        <w:textAlignment w:val="baseline"/>
        <w:rPr>
          <w:color w:val="000000"/>
          <w:szCs w:val="24"/>
          <w:lang w:eastAsia="lt-LT"/>
        </w:rPr>
      </w:pPr>
      <w:r>
        <w:rPr>
          <w:color w:val="000000"/>
          <w:szCs w:val="24"/>
          <w:lang w:eastAsia="lt-LT"/>
        </w:rPr>
        <w:t>_____ m. __d.</w:t>
      </w:r>
    </w:p>
    <w:p w14:paraId="6767BA19" w14:textId="77777777" w:rsidR="00E127A1" w:rsidRDefault="00E127A1">
      <w:pPr>
        <w:suppressAutoHyphens/>
        <w:ind w:firstLine="782"/>
        <w:jc w:val="both"/>
        <w:textAlignment w:val="baseline"/>
        <w:rPr>
          <w:color w:val="000000"/>
          <w:szCs w:val="24"/>
          <w:lang w:eastAsia="lt-LT"/>
        </w:rPr>
      </w:pPr>
    </w:p>
    <w:p w14:paraId="115B44ED" w14:textId="77777777" w:rsidR="00E127A1" w:rsidRDefault="003562BD">
      <w:pPr>
        <w:suppressAutoHyphens/>
        <w:jc w:val="center"/>
        <w:textAlignment w:val="baseline"/>
        <w:rPr>
          <w:color w:val="000000"/>
          <w:szCs w:val="24"/>
          <w:lang w:eastAsia="lt-LT"/>
        </w:rPr>
      </w:pPr>
      <w:r>
        <w:rPr>
          <w:color w:val="000000"/>
          <w:szCs w:val="24"/>
          <w:lang w:eastAsia="lt-LT"/>
        </w:rPr>
        <w:t>Vilnius</w:t>
      </w:r>
    </w:p>
    <w:p w14:paraId="756FE487" w14:textId="77777777" w:rsidR="00E127A1" w:rsidRDefault="00E127A1">
      <w:pPr>
        <w:suppressAutoHyphens/>
        <w:jc w:val="center"/>
        <w:textAlignment w:val="baseline"/>
        <w:rPr>
          <w:color w:val="000000"/>
          <w:szCs w:val="24"/>
          <w:lang w:eastAsia="lt-LT"/>
        </w:rPr>
      </w:pPr>
    </w:p>
    <w:p w14:paraId="609F043B" w14:textId="77777777" w:rsidR="00E127A1" w:rsidRDefault="003562BD">
      <w:pPr>
        <w:suppressAutoHyphens/>
        <w:ind w:firstLine="720"/>
        <w:jc w:val="both"/>
        <w:textAlignment w:val="baseline"/>
        <w:rPr>
          <w:szCs w:val="24"/>
        </w:rPr>
      </w:pPr>
      <w:r>
        <w:rPr>
          <w:color w:val="000000"/>
          <w:szCs w:val="24"/>
          <w:shd w:val="clear" w:color="auto" w:fill="FFFFFF"/>
          <w:lang w:eastAsia="lt-LT"/>
        </w:rPr>
        <w:t xml:space="preserve">Lietuvos Respublikos aplinkos ministerijos Aplinkos projektų valdymo agentūra, vykdanti Sąjungos šiltnamio efektą sukeliančių dujų registro (toliau – Sąjungos registras) nacionalinio administratoriaus funkcijas </w:t>
      </w:r>
      <w:r>
        <w:rPr>
          <w:color w:val="000000"/>
          <w:szCs w:val="24"/>
          <w:lang w:eastAsia="lt-LT"/>
        </w:rPr>
        <w:t>(</w:t>
      </w:r>
      <w:r>
        <w:rPr>
          <w:szCs w:val="24"/>
          <w:lang w:eastAsia="lt-LT"/>
        </w:rPr>
        <w:t xml:space="preserve">toliau – nacionalinis administratorius), buveinės adresas: Labdarių g. 3, LT-01120 Vilnius, juridinio asmens kodas 288779560, atstovaujama _________________________________, veikiančio pagal _____________________________ ir ___________________ (toliau – Pareiškėjas), adresas: _______________, juridinio asmens kodas____________________, atstovaujamas _____________________,  kartu vadinamos </w:t>
      </w:r>
      <w:r>
        <w:rPr>
          <w:color w:val="000000"/>
          <w:szCs w:val="24"/>
          <w:lang w:eastAsia="lt-LT"/>
        </w:rPr>
        <w:t>šalimis, o kiekviena atskirai – šalimi, sudarė šią sąskaitos tvarkymo sutartį (toliau – Sutartis):</w:t>
      </w:r>
    </w:p>
    <w:p w14:paraId="4F722892" w14:textId="77777777" w:rsidR="00E127A1" w:rsidRDefault="00E127A1">
      <w:pPr>
        <w:suppressAutoHyphens/>
        <w:ind w:firstLine="782"/>
        <w:jc w:val="both"/>
        <w:textAlignment w:val="baseline"/>
        <w:rPr>
          <w:color w:val="000000"/>
          <w:szCs w:val="24"/>
          <w:lang w:eastAsia="lt-LT"/>
        </w:rPr>
      </w:pPr>
    </w:p>
    <w:p w14:paraId="698B3A69" w14:textId="77777777" w:rsidR="00E127A1" w:rsidRDefault="003562BD">
      <w:pPr>
        <w:suppressAutoHyphens/>
        <w:jc w:val="center"/>
        <w:textAlignment w:val="baseline"/>
      </w:pPr>
      <w:r>
        <w:rPr>
          <w:b/>
          <w:bCs/>
          <w:color w:val="000000"/>
          <w:szCs w:val="24"/>
          <w:lang w:eastAsia="lt-LT"/>
        </w:rPr>
        <w:t>1. SUTARTIES OBJEKTAS</w:t>
      </w:r>
    </w:p>
    <w:p w14:paraId="1D4CB207" w14:textId="77777777" w:rsidR="00E127A1" w:rsidRDefault="00E127A1">
      <w:pPr>
        <w:suppressAutoHyphens/>
        <w:ind w:firstLine="782"/>
        <w:jc w:val="both"/>
        <w:textAlignment w:val="baseline"/>
        <w:rPr>
          <w:color w:val="000000"/>
          <w:szCs w:val="24"/>
          <w:lang w:eastAsia="lt-LT"/>
        </w:rPr>
      </w:pPr>
    </w:p>
    <w:p w14:paraId="22566EE4" w14:textId="77777777" w:rsidR="00E127A1" w:rsidRDefault="003562BD">
      <w:pPr>
        <w:suppressAutoHyphens/>
        <w:ind w:firstLine="720"/>
        <w:jc w:val="both"/>
        <w:textAlignment w:val="baseline"/>
      </w:pPr>
      <w:r>
        <w:rPr>
          <w:color w:val="000000"/>
          <w:szCs w:val="24"/>
          <w:lang w:eastAsia="lt-LT"/>
        </w:rPr>
        <w:t xml:space="preserve">1.1. Nacionalinis administratorius įsipareigoja tvarkyti Pareiškėjo sąskaitą ir atlikti visus su tuo susijusius </w:t>
      </w:r>
      <w:r>
        <w:rPr>
          <w:szCs w:val="24"/>
          <w:lang w:eastAsia="lt-LT"/>
        </w:rPr>
        <w:t>veiksmus laikydamasis</w:t>
      </w:r>
      <w:r>
        <w:rPr>
          <w:b/>
          <w:szCs w:val="24"/>
          <w:lang w:eastAsia="lt-LT"/>
        </w:rPr>
        <w:t xml:space="preserve"> </w:t>
      </w:r>
      <w:r>
        <w:rPr>
          <w:szCs w:val="24"/>
          <w:lang w:eastAsia="lt-LT"/>
        </w:rPr>
        <w:t>Sąjungos šiltnamio efektą sukeliančių dujų registro naudojimo taisyklėse</w:t>
      </w:r>
      <w:r>
        <w:rPr>
          <w:color w:val="000000"/>
          <w:szCs w:val="24"/>
          <w:lang w:eastAsia="lt-LT"/>
        </w:rPr>
        <w:t xml:space="preserve"> </w:t>
      </w:r>
      <w:r>
        <w:rPr>
          <w:szCs w:val="24"/>
          <w:lang w:eastAsia="lt-LT"/>
        </w:rPr>
        <w:t xml:space="preserve">(toliau – Taisyklės) ir  </w:t>
      </w:r>
      <w:r>
        <w:rPr>
          <w:color w:val="000000"/>
          <w:szCs w:val="24"/>
          <w:lang w:eastAsia="lt-LT"/>
        </w:rPr>
        <w:t>2019 m. kovo 12 d. Komisijos deleguotajame reglamente (ES) 2019/1122, kuriuo papildomos Europos Parlamento ir Tarybos direktyvos 2003/87/EB nuostatos dėl Sąjungos registro veikimo (toliau – Reglamentas) nustatytų reikalavimų;</w:t>
      </w:r>
    </w:p>
    <w:p w14:paraId="68E8EB14" w14:textId="77777777" w:rsidR="00E127A1" w:rsidRDefault="003562BD">
      <w:pPr>
        <w:suppressAutoHyphens/>
        <w:ind w:firstLine="720"/>
        <w:jc w:val="both"/>
        <w:textAlignment w:val="baseline"/>
      </w:pPr>
      <w:r>
        <w:rPr>
          <w:color w:val="000000"/>
          <w:szCs w:val="24"/>
          <w:lang w:eastAsia="lt-LT"/>
        </w:rPr>
        <w:t>1.2. Pareiškėjas įsipareigoja laikytis Taisyklių ir Reglamento jam nustatytų pareigų ir reikalavimų naudojantis sąskaita ir Sąjungos registru;</w:t>
      </w:r>
    </w:p>
    <w:p w14:paraId="4A8F5EB1" w14:textId="77777777" w:rsidR="00E127A1" w:rsidRDefault="003562BD">
      <w:pPr>
        <w:suppressAutoHyphens/>
        <w:ind w:firstLine="720"/>
        <w:jc w:val="both"/>
        <w:textAlignment w:val="baseline"/>
      </w:pPr>
      <w:r>
        <w:rPr>
          <w:color w:val="000000"/>
          <w:szCs w:val="24"/>
          <w:lang w:eastAsia="lt-LT"/>
        </w:rPr>
        <w:t>1.3. sutartis sudaroma dėl (pažymėti tinkamą ir įrašyti sąskaitos Sąjungos registre numerį):</w:t>
      </w:r>
    </w:p>
    <w:p w14:paraId="793092E0" w14:textId="77777777" w:rsidR="00E127A1" w:rsidRDefault="003562BD">
      <w:pPr>
        <w:suppressAutoHyphens/>
        <w:ind w:firstLine="720"/>
        <w:jc w:val="both"/>
        <w:textAlignment w:val="baseline"/>
        <w:rPr>
          <w:color w:val="000000"/>
          <w:szCs w:val="24"/>
          <w:lang w:eastAsia="lt-LT"/>
        </w:rPr>
      </w:pPr>
      <w:r>
        <w:rPr>
          <w:color w:val="000000"/>
          <w:szCs w:val="24"/>
          <w:lang w:eastAsia="lt-LT"/>
        </w:rPr>
        <w:t>□ veiklos vykdytojo sąskaitos (Nr.   );</w:t>
      </w:r>
    </w:p>
    <w:p w14:paraId="577F8EC3" w14:textId="77777777" w:rsidR="00E127A1" w:rsidRDefault="003562BD">
      <w:pPr>
        <w:suppressAutoHyphens/>
        <w:ind w:firstLine="720"/>
        <w:jc w:val="both"/>
        <w:textAlignment w:val="baseline"/>
        <w:rPr>
          <w:color w:val="000000"/>
          <w:szCs w:val="24"/>
          <w:lang w:eastAsia="lt-LT"/>
        </w:rPr>
      </w:pPr>
      <w:r>
        <w:rPr>
          <w:color w:val="000000"/>
          <w:szCs w:val="24"/>
          <w:lang w:eastAsia="lt-LT"/>
        </w:rPr>
        <w:t>□ orlaivių naudotojo sąskaitos (Nr.   );</w:t>
      </w:r>
    </w:p>
    <w:p w14:paraId="5394C48D" w14:textId="77777777" w:rsidR="00E127A1" w:rsidRDefault="003562BD">
      <w:pPr>
        <w:suppressAutoHyphens/>
        <w:ind w:firstLine="720"/>
        <w:jc w:val="both"/>
        <w:textAlignment w:val="baseline"/>
        <w:rPr>
          <w:color w:val="000000"/>
          <w:szCs w:val="24"/>
          <w:lang w:eastAsia="lt-LT"/>
        </w:rPr>
      </w:pPr>
      <w:r>
        <w:rPr>
          <w:color w:val="000000"/>
          <w:szCs w:val="24"/>
          <w:lang w:eastAsia="lt-LT"/>
        </w:rPr>
        <w:t>□ prekybos sąskaitos (Nr.   );</w:t>
      </w:r>
    </w:p>
    <w:p w14:paraId="0D453CC7" w14:textId="77777777" w:rsidR="00E127A1" w:rsidRDefault="003562BD">
      <w:pPr>
        <w:suppressAutoHyphens/>
        <w:ind w:firstLine="720"/>
        <w:jc w:val="both"/>
        <w:textAlignment w:val="baseline"/>
      </w:pPr>
      <w:r>
        <w:rPr>
          <w:color w:val="000000"/>
          <w:szCs w:val="24"/>
          <w:lang w:eastAsia="lt-LT"/>
        </w:rPr>
        <w:t>□ tikrintojo įregistravimo Sąjungos registre (atitinka sąskaitos Sąjungos registre atidarymą)</w:t>
      </w:r>
      <w:r>
        <w:t xml:space="preserve"> </w:t>
      </w:r>
      <w:r>
        <w:rPr>
          <w:color w:val="000000"/>
          <w:szCs w:val="24"/>
          <w:lang w:eastAsia="lt-LT"/>
        </w:rPr>
        <w:t>(Nr.   ).</w:t>
      </w:r>
    </w:p>
    <w:p w14:paraId="343952D2" w14:textId="77777777" w:rsidR="00E127A1" w:rsidRDefault="00E127A1">
      <w:pPr>
        <w:suppressAutoHyphens/>
        <w:ind w:firstLine="720"/>
        <w:jc w:val="both"/>
        <w:textAlignment w:val="baseline"/>
        <w:rPr>
          <w:color w:val="000000"/>
          <w:szCs w:val="24"/>
          <w:lang w:eastAsia="lt-LT"/>
        </w:rPr>
      </w:pPr>
    </w:p>
    <w:p w14:paraId="162B026E" w14:textId="77777777" w:rsidR="00E127A1" w:rsidRDefault="00E127A1">
      <w:pPr>
        <w:suppressAutoHyphens/>
        <w:ind w:firstLine="782"/>
        <w:jc w:val="both"/>
        <w:textAlignment w:val="baseline"/>
        <w:rPr>
          <w:color w:val="000000"/>
          <w:szCs w:val="24"/>
          <w:lang w:eastAsia="lt-LT"/>
        </w:rPr>
      </w:pPr>
    </w:p>
    <w:p w14:paraId="0B08FC06" w14:textId="77777777" w:rsidR="00E127A1" w:rsidRDefault="003562BD">
      <w:pPr>
        <w:suppressAutoHyphens/>
        <w:ind w:firstLine="720"/>
        <w:jc w:val="center"/>
        <w:textAlignment w:val="baseline"/>
      </w:pPr>
      <w:r>
        <w:rPr>
          <w:b/>
          <w:bCs/>
          <w:color w:val="000000"/>
          <w:szCs w:val="24"/>
          <w:lang w:eastAsia="lt-LT"/>
        </w:rPr>
        <w:t>2. SUTARTIES ŠALIŲ ĮSIPAREIGOJIMAI</w:t>
      </w:r>
    </w:p>
    <w:p w14:paraId="72B91F49" w14:textId="77777777" w:rsidR="00E127A1" w:rsidRDefault="00E127A1">
      <w:pPr>
        <w:suppressAutoHyphens/>
        <w:ind w:firstLine="720"/>
        <w:jc w:val="center"/>
        <w:textAlignment w:val="baseline"/>
        <w:rPr>
          <w:color w:val="000000"/>
          <w:szCs w:val="24"/>
          <w:lang w:eastAsia="lt-LT"/>
        </w:rPr>
      </w:pPr>
    </w:p>
    <w:p w14:paraId="42F21AB2" w14:textId="77777777" w:rsidR="00E127A1" w:rsidRDefault="003562BD">
      <w:pPr>
        <w:suppressAutoHyphens/>
        <w:ind w:firstLine="720"/>
        <w:jc w:val="both"/>
        <w:textAlignment w:val="baseline"/>
        <w:rPr>
          <w:color w:val="000000"/>
          <w:szCs w:val="24"/>
          <w:lang w:eastAsia="lt-LT"/>
        </w:rPr>
      </w:pPr>
      <w:r>
        <w:rPr>
          <w:color w:val="000000"/>
          <w:szCs w:val="24"/>
          <w:lang w:eastAsia="lt-LT"/>
        </w:rPr>
        <w:t>2.1. Nacionalinis administratorius įsipareigoja:</w:t>
      </w:r>
    </w:p>
    <w:p w14:paraId="5CF6FD26" w14:textId="77777777" w:rsidR="00E127A1" w:rsidRDefault="003562BD">
      <w:pPr>
        <w:suppressAutoHyphens/>
        <w:ind w:firstLine="720"/>
        <w:jc w:val="both"/>
        <w:textAlignment w:val="baseline"/>
        <w:rPr>
          <w:color w:val="000000"/>
          <w:szCs w:val="24"/>
          <w:lang w:eastAsia="lt-LT"/>
        </w:rPr>
      </w:pPr>
      <w:r>
        <w:rPr>
          <w:color w:val="000000"/>
          <w:szCs w:val="24"/>
          <w:lang w:eastAsia="lt-LT"/>
        </w:rPr>
        <w:t>2.1.1. laikydamasi Reglamento, Taisyklių ir kitų teisės aktų reikalavimų tvarkyti sąskaitą;</w:t>
      </w:r>
    </w:p>
    <w:p w14:paraId="0A5A7685" w14:textId="77777777" w:rsidR="00E127A1" w:rsidRDefault="003562BD">
      <w:pPr>
        <w:suppressAutoHyphens/>
        <w:ind w:firstLine="720"/>
        <w:jc w:val="both"/>
        <w:textAlignment w:val="baseline"/>
        <w:rPr>
          <w:color w:val="000000"/>
          <w:szCs w:val="24"/>
          <w:lang w:eastAsia="lt-LT"/>
        </w:rPr>
      </w:pPr>
      <w:r>
        <w:rPr>
          <w:color w:val="000000"/>
          <w:szCs w:val="24"/>
          <w:lang w:eastAsia="lt-LT"/>
        </w:rPr>
        <w:t xml:space="preserve">2.1.2. įregistruoti Pareiškėjo pateiktus duomenis ir jų pakeitimus Sąjungos registre; </w:t>
      </w:r>
    </w:p>
    <w:p w14:paraId="4B818C61" w14:textId="77777777" w:rsidR="00E127A1" w:rsidRDefault="003562BD">
      <w:pPr>
        <w:suppressAutoHyphens/>
        <w:ind w:firstLine="720"/>
        <w:jc w:val="both"/>
        <w:textAlignment w:val="baseline"/>
      </w:pPr>
      <w:r>
        <w:rPr>
          <w:color w:val="000000"/>
          <w:szCs w:val="24"/>
          <w:lang w:eastAsia="lt-LT"/>
        </w:rPr>
        <w:t>2.1.3. sukurti, atnaujinti ar uždaryti sąskaitą vadovaujantis Reglamento ir Taisyklių reikalavimais;</w:t>
      </w:r>
    </w:p>
    <w:p w14:paraId="43F34AB1" w14:textId="77777777" w:rsidR="00E127A1" w:rsidRDefault="003562BD">
      <w:pPr>
        <w:suppressAutoHyphens/>
        <w:ind w:firstLine="720"/>
        <w:jc w:val="both"/>
        <w:textAlignment w:val="baseline"/>
        <w:rPr>
          <w:color w:val="000000"/>
          <w:szCs w:val="24"/>
          <w:lang w:eastAsia="lt-LT"/>
        </w:rPr>
      </w:pPr>
      <w:r>
        <w:rPr>
          <w:color w:val="000000"/>
          <w:szCs w:val="24"/>
          <w:lang w:eastAsia="lt-LT"/>
        </w:rPr>
        <w:t>2.1.4. Pareiškėjui paprašius, teikti informaciją apie Pareiškėją ir jam priklausančios sąskaitos duomenis, jų pasikeitimus;</w:t>
      </w:r>
    </w:p>
    <w:p w14:paraId="67853FE4" w14:textId="77777777" w:rsidR="00E127A1" w:rsidRDefault="003562BD">
      <w:pPr>
        <w:suppressAutoHyphens/>
        <w:ind w:firstLine="720"/>
        <w:jc w:val="both"/>
        <w:textAlignment w:val="baseline"/>
        <w:rPr>
          <w:strike/>
          <w:color w:val="000000"/>
          <w:szCs w:val="24"/>
          <w:lang w:eastAsia="lt-LT"/>
        </w:rPr>
      </w:pPr>
      <w:r>
        <w:rPr>
          <w:color w:val="000000"/>
          <w:szCs w:val="24"/>
          <w:lang w:eastAsia="lt-LT"/>
        </w:rPr>
        <w:t xml:space="preserve">2.1.5. atlikti šios sutarties koordinavimą ir vykdymo kontrolę; </w:t>
      </w:r>
    </w:p>
    <w:p w14:paraId="7DF0F4A0" w14:textId="77777777" w:rsidR="00E127A1" w:rsidRDefault="003562BD">
      <w:pPr>
        <w:suppressAutoHyphens/>
        <w:ind w:firstLine="720"/>
        <w:jc w:val="both"/>
        <w:textAlignment w:val="baseline"/>
      </w:pPr>
      <w:r>
        <w:rPr>
          <w:color w:val="000000"/>
          <w:szCs w:val="24"/>
          <w:lang w:val="en-US" w:eastAsia="lt-LT"/>
        </w:rPr>
        <w:t xml:space="preserve">2.1.6. </w:t>
      </w:r>
      <w:r>
        <w:rPr>
          <w:color w:val="000000"/>
          <w:szCs w:val="24"/>
          <w:lang w:eastAsia="lt-LT"/>
        </w:rPr>
        <w:t>tvarkant asmens duomenis užtikrinti Pareiškėjo pateiktos informacijos konfidencialumą ir apsaugą;</w:t>
      </w:r>
    </w:p>
    <w:p w14:paraId="1FE5A66C" w14:textId="77777777" w:rsidR="00E127A1" w:rsidRDefault="003562BD">
      <w:pPr>
        <w:suppressAutoHyphens/>
        <w:ind w:firstLine="720"/>
        <w:jc w:val="both"/>
        <w:textAlignment w:val="baseline"/>
      </w:pPr>
      <w:r>
        <w:rPr>
          <w:szCs w:val="24"/>
          <w:lang w:eastAsia="lt-LT"/>
        </w:rPr>
        <w:t>2.1.7. vykdyti kitas Reglamente, Taisyklėse, kituose teisės aktuose nustatytas pareigas.</w:t>
      </w:r>
    </w:p>
    <w:p w14:paraId="482E404C" w14:textId="77777777" w:rsidR="00E127A1" w:rsidRDefault="003562BD">
      <w:pPr>
        <w:suppressAutoHyphens/>
        <w:ind w:firstLine="720"/>
        <w:jc w:val="both"/>
        <w:textAlignment w:val="baseline"/>
      </w:pPr>
      <w:r>
        <w:rPr>
          <w:szCs w:val="24"/>
          <w:lang w:eastAsia="lt-LT"/>
        </w:rPr>
        <w:lastRenderedPageBreak/>
        <w:t>2.2. Nacionalinis administratorius turi teisę daryti pakeitimus Sąjungos registro interneto tinklalapyje Reglamente nustatyta tvarka.</w:t>
      </w:r>
    </w:p>
    <w:p w14:paraId="31656CE4" w14:textId="77777777" w:rsidR="00E127A1" w:rsidRDefault="003562BD">
      <w:pPr>
        <w:suppressAutoHyphens/>
        <w:ind w:firstLine="720"/>
        <w:jc w:val="both"/>
        <w:textAlignment w:val="baseline"/>
        <w:rPr>
          <w:szCs w:val="24"/>
          <w:lang w:eastAsia="lt-LT"/>
        </w:rPr>
      </w:pPr>
      <w:r>
        <w:rPr>
          <w:szCs w:val="24"/>
          <w:lang w:eastAsia="lt-LT"/>
        </w:rPr>
        <w:t>2.3. Pareiškėjas įsipareigoja:</w:t>
      </w:r>
    </w:p>
    <w:p w14:paraId="1B0F3308" w14:textId="77777777" w:rsidR="00E127A1" w:rsidRDefault="003562BD">
      <w:pPr>
        <w:suppressAutoHyphens/>
        <w:ind w:firstLine="720"/>
        <w:jc w:val="both"/>
        <w:textAlignment w:val="baseline"/>
        <w:rPr>
          <w:color w:val="000000"/>
          <w:szCs w:val="24"/>
          <w:lang w:eastAsia="lt-LT"/>
        </w:rPr>
      </w:pPr>
      <w:r>
        <w:rPr>
          <w:color w:val="000000"/>
          <w:szCs w:val="24"/>
          <w:lang w:eastAsia="lt-LT"/>
        </w:rPr>
        <w:t>2.3.1. teikti reikalingus duomenis ir informaciją Sąjungos registro informacinei sistemai ir užtikrinti, kad pateikti duomenys ir informacija yra tikslūs ir teisingi;</w:t>
      </w:r>
    </w:p>
    <w:p w14:paraId="31258955" w14:textId="77777777" w:rsidR="00E127A1" w:rsidRDefault="003562BD">
      <w:pPr>
        <w:suppressAutoHyphens/>
        <w:ind w:firstLine="720"/>
        <w:jc w:val="both"/>
        <w:textAlignment w:val="baseline"/>
        <w:rPr>
          <w:color w:val="000000"/>
          <w:szCs w:val="24"/>
          <w:lang w:eastAsia="lt-LT"/>
        </w:rPr>
      </w:pPr>
      <w:r>
        <w:rPr>
          <w:color w:val="000000"/>
          <w:szCs w:val="24"/>
          <w:lang w:eastAsia="lt-LT"/>
        </w:rPr>
        <w:t>2.3.2. per kuo trumpesnį laiką, bet ne vėliau kaip per Taisyklėse nustatytą terminą pranešti nacionaliniam administratoriui aplinkybes, apie kurias, remiantis Taisyklėmis ar Reglamentu, Pareiškėjas privalo informuoti nacionalinį administratorių;</w:t>
      </w:r>
    </w:p>
    <w:p w14:paraId="08124A0A" w14:textId="77777777" w:rsidR="00E127A1" w:rsidRDefault="003562BD">
      <w:pPr>
        <w:suppressAutoHyphens/>
        <w:ind w:firstLine="720"/>
        <w:jc w:val="both"/>
        <w:textAlignment w:val="baseline"/>
        <w:rPr>
          <w:color w:val="000000"/>
          <w:szCs w:val="24"/>
          <w:lang w:eastAsia="lt-LT"/>
        </w:rPr>
      </w:pPr>
      <w:r>
        <w:rPr>
          <w:color w:val="000000"/>
          <w:szCs w:val="24"/>
          <w:lang w:eastAsia="lt-LT"/>
        </w:rPr>
        <w:t>2.3.3. laikytis saugumo reikalavimų naudojant vartotojo vardą ir slaptažodį, prieigą prie sąskaitų ir veiksmų, kuriomis naudotis ir kuriuos atlikti jam leidžiama;</w:t>
      </w:r>
    </w:p>
    <w:p w14:paraId="40AF1209" w14:textId="77777777" w:rsidR="00E127A1" w:rsidRDefault="003562BD">
      <w:pPr>
        <w:suppressAutoHyphens/>
        <w:ind w:firstLine="720"/>
        <w:jc w:val="both"/>
        <w:textAlignment w:val="baseline"/>
        <w:rPr>
          <w:color w:val="000000"/>
          <w:szCs w:val="24"/>
          <w:lang w:eastAsia="lt-LT"/>
        </w:rPr>
      </w:pPr>
      <w:r>
        <w:rPr>
          <w:color w:val="000000"/>
          <w:szCs w:val="24"/>
          <w:lang w:eastAsia="lt-LT"/>
        </w:rPr>
        <w:t>2.3.4. ne vėliau kaip iki Taisyklių 89 punkte nustatyto termino sumokėti Vyriausybės nustatyto dydžio atlyginimą už sąskaitos Sąjungos registre tvarkymą per IS „E. sąskaita“;</w:t>
      </w:r>
    </w:p>
    <w:p w14:paraId="1753CA26" w14:textId="77777777" w:rsidR="00E127A1" w:rsidRDefault="003562BD">
      <w:pPr>
        <w:suppressAutoHyphens/>
        <w:ind w:firstLine="720"/>
        <w:jc w:val="both"/>
        <w:textAlignment w:val="baseline"/>
        <w:rPr>
          <w:color w:val="000000"/>
          <w:szCs w:val="24"/>
          <w:lang w:eastAsia="lt-LT"/>
        </w:rPr>
      </w:pPr>
      <w:r>
        <w:rPr>
          <w:color w:val="000000"/>
          <w:szCs w:val="24"/>
          <w:lang w:eastAsia="lt-LT"/>
        </w:rPr>
        <w:t>2.3.5. atsakyti už įgaliotųjų atstovų ir kitų asmenų, kuriems Pareiškėjas suteikė prieigos prie Sąjungos registro sąskaitos teisę ar teisę atlikti veiksmus su sąskaita, veiksmus kaip už atliktus Pareiškėjo;</w:t>
      </w:r>
    </w:p>
    <w:p w14:paraId="047ED658" w14:textId="77777777" w:rsidR="00E127A1" w:rsidRDefault="003562BD">
      <w:pPr>
        <w:suppressAutoHyphens/>
        <w:ind w:firstLine="720"/>
        <w:jc w:val="both"/>
        <w:textAlignment w:val="baseline"/>
        <w:rPr>
          <w:color w:val="000000"/>
          <w:szCs w:val="24"/>
          <w:lang w:eastAsia="lt-LT"/>
        </w:rPr>
      </w:pPr>
      <w:r>
        <w:rPr>
          <w:color w:val="000000"/>
          <w:szCs w:val="24"/>
          <w:lang w:eastAsia="lt-LT"/>
        </w:rPr>
        <w:t>2.3.6. neperleisti savo teisių pagal Sutartį tretiesiems asmenims be nacionalinio administratorius sutikimo;</w:t>
      </w:r>
    </w:p>
    <w:p w14:paraId="10F1ACD6" w14:textId="77777777" w:rsidR="00E127A1" w:rsidRDefault="003562BD">
      <w:pPr>
        <w:suppressAutoHyphens/>
        <w:ind w:firstLine="720"/>
        <w:jc w:val="both"/>
        <w:textAlignment w:val="baseline"/>
        <w:rPr>
          <w:color w:val="000000"/>
        </w:rPr>
      </w:pPr>
      <w:r>
        <w:rPr>
          <w:color w:val="000000"/>
          <w:szCs w:val="24"/>
          <w:lang w:eastAsia="lt-LT"/>
        </w:rPr>
        <w:t>2.3.7. vykdyti kitas Reglamento, Taisyklių ir kitų teisės aktų reikalavimus.</w:t>
      </w:r>
    </w:p>
    <w:p w14:paraId="2280506E" w14:textId="77777777" w:rsidR="00E127A1" w:rsidRDefault="00E127A1">
      <w:pPr>
        <w:suppressAutoHyphens/>
        <w:ind w:firstLine="782"/>
        <w:jc w:val="both"/>
        <w:textAlignment w:val="baseline"/>
        <w:rPr>
          <w:color w:val="000000"/>
          <w:szCs w:val="24"/>
          <w:lang w:eastAsia="lt-LT"/>
        </w:rPr>
      </w:pPr>
    </w:p>
    <w:p w14:paraId="2F9A58C4" w14:textId="77777777" w:rsidR="00E127A1" w:rsidRDefault="003562BD">
      <w:pPr>
        <w:suppressAutoHyphens/>
        <w:ind w:firstLine="720"/>
        <w:jc w:val="center"/>
        <w:textAlignment w:val="baseline"/>
      </w:pPr>
      <w:r>
        <w:rPr>
          <w:b/>
          <w:bCs/>
          <w:color w:val="000000"/>
          <w:szCs w:val="24"/>
          <w:lang w:eastAsia="lt-LT"/>
        </w:rPr>
        <w:t>3. GARANTIJOS IR ATSAKOMYBĖ</w:t>
      </w:r>
    </w:p>
    <w:p w14:paraId="4F4C11A6" w14:textId="77777777" w:rsidR="00E127A1" w:rsidRDefault="00E127A1">
      <w:pPr>
        <w:suppressAutoHyphens/>
        <w:ind w:firstLine="720"/>
        <w:jc w:val="center"/>
        <w:textAlignment w:val="baseline"/>
        <w:rPr>
          <w:b/>
          <w:color w:val="000000"/>
          <w:szCs w:val="24"/>
          <w:lang w:eastAsia="lt-LT"/>
        </w:rPr>
      </w:pPr>
    </w:p>
    <w:p w14:paraId="344DDADB" w14:textId="77777777" w:rsidR="00E127A1" w:rsidRDefault="003562BD">
      <w:pPr>
        <w:suppressAutoHyphens/>
        <w:ind w:firstLine="720"/>
        <w:jc w:val="both"/>
        <w:textAlignment w:val="baseline"/>
        <w:rPr>
          <w:color w:val="000000"/>
          <w:szCs w:val="24"/>
          <w:lang w:eastAsia="lt-LT"/>
        </w:rPr>
      </w:pPr>
      <w:r>
        <w:rPr>
          <w:color w:val="000000"/>
          <w:szCs w:val="24"/>
          <w:lang w:eastAsia="lt-LT"/>
        </w:rPr>
        <w:t>3.1. Nacionalinis administratorius atsako už Sąjungos registro pateikiamos informacijos tikslumą;</w:t>
      </w:r>
    </w:p>
    <w:p w14:paraId="29D1DD53" w14:textId="77777777" w:rsidR="00E127A1" w:rsidRDefault="003562BD">
      <w:pPr>
        <w:suppressAutoHyphens/>
        <w:ind w:firstLine="720"/>
        <w:jc w:val="both"/>
        <w:textAlignment w:val="baseline"/>
        <w:rPr>
          <w:color w:val="000000"/>
          <w:szCs w:val="24"/>
          <w:lang w:eastAsia="lt-LT"/>
        </w:rPr>
      </w:pPr>
      <w:r>
        <w:rPr>
          <w:color w:val="000000"/>
          <w:szCs w:val="24"/>
          <w:lang w:eastAsia="lt-LT"/>
        </w:rPr>
        <w:t>3.2. Nacionalinis administratorius neatsako už trečiųjų asmenų pateiktos informacijos tikslumą ir Pareiškėjo ar jo įgaliotųjų atstovų slaptažodžio praradimą ar perdavimą tretiesiems asmenims ir su tuo susijusį informacijos atskleidimą tretiesiems asmenims;</w:t>
      </w:r>
    </w:p>
    <w:p w14:paraId="732483DA" w14:textId="77777777" w:rsidR="00E127A1" w:rsidRDefault="003562BD">
      <w:pPr>
        <w:suppressAutoHyphens/>
        <w:ind w:firstLine="720"/>
        <w:jc w:val="both"/>
        <w:textAlignment w:val="baseline"/>
        <w:rPr>
          <w:color w:val="000000"/>
          <w:szCs w:val="24"/>
          <w:lang w:eastAsia="lt-LT"/>
        </w:rPr>
      </w:pPr>
      <w:r>
        <w:rPr>
          <w:color w:val="000000"/>
          <w:szCs w:val="24"/>
          <w:lang w:eastAsia="lt-LT"/>
        </w:rPr>
        <w:t>3.3. Pareiškėjas, pasirašydamas šią sutartį, patvirtina, kad:</w:t>
      </w:r>
    </w:p>
    <w:p w14:paraId="5AE34611" w14:textId="77777777" w:rsidR="00E127A1" w:rsidRDefault="003562BD">
      <w:pPr>
        <w:suppressAutoHyphens/>
        <w:ind w:firstLine="720"/>
        <w:jc w:val="both"/>
        <w:textAlignment w:val="baseline"/>
      </w:pPr>
      <w:r>
        <w:rPr>
          <w:color w:val="000000"/>
          <w:szCs w:val="24"/>
          <w:lang w:eastAsia="lt-LT"/>
        </w:rPr>
        <w:t xml:space="preserve">3.3.1. turi teisę sudaryti Sutartį ir nėra </w:t>
      </w:r>
      <w:r>
        <w:rPr>
          <w:szCs w:val="24"/>
          <w:lang w:eastAsia="lt-LT"/>
        </w:rPr>
        <w:t xml:space="preserve">jokių Sutarties ar kitų teisės aktų </w:t>
      </w:r>
      <w:r>
        <w:rPr>
          <w:color w:val="000000"/>
          <w:szCs w:val="24"/>
          <w:lang w:eastAsia="lt-LT"/>
        </w:rPr>
        <w:t>nustatytų kliūčių Sutartį sudaryti ir vykdyti pagal ją įsipareigojimus;</w:t>
      </w:r>
    </w:p>
    <w:p w14:paraId="5C03EE63" w14:textId="77777777" w:rsidR="00E127A1" w:rsidRDefault="003562BD">
      <w:pPr>
        <w:suppressAutoHyphens/>
        <w:ind w:firstLine="720"/>
        <w:jc w:val="both"/>
        <w:textAlignment w:val="baseline"/>
        <w:rPr>
          <w:color w:val="000000"/>
          <w:szCs w:val="24"/>
          <w:lang w:eastAsia="lt-LT"/>
        </w:rPr>
      </w:pPr>
      <w:r>
        <w:rPr>
          <w:color w:val="000000"/>
          <w:szCs w:val="24"/>
          <w:lang w:eastAsia="lt-LT"/>
        </w:rPr>
        <w:t>3.3.2. teikiant prašymą nacionaliniam administratoriui pateikti duomenys yra teisingi, tikslūs ir išsamūs;</w:t>
      </w:r>
    </w:p>
    <w:p w14:paraId="1DDD419B" w14:textId="77777777" w:rsidR="00E127A1" w:rsidRDefault="003562BD">
      <w:pPr>
        <w:suppressAutoHyphens/>
        <w:ind w:firstLine="720"/>
        <w:jc w:val="both"/>
        <w:textAlignment w:val="baseline"/>
        <w:rPr>
          <w:color w:val="000000"/>
          <w:szCs w:val="24"/>
          <w:lang w:eastAsia="lt-LT"/>
        </w:rPr>
      </w:pPr>
      <w:r>
        <w:rPr>
          <w:color w:val="000000"/>
          <w:szCs w:val="24"/>
          <w:lang w:eastAsia="lt-LT"/>
        </w:rPr>
        <w:t>3.3.3. pasikeitus prašyme ar kituose dokumentuose pateiktai informacijai, nedelsdamas praneša nacionaliniam administratoriui apie pasikeitimus;</w:t>
      </w:r>
    </w:p>
    <w:p w14:paraId="4C2A9187" w14:textId="77777777" w:rsidR="00E127A1" w:rsidRDefault="003562BD">
      <w:pPr>
        <w:suppressAutoHyphens/>
        <w:ind w:firstLine="720"/>
        <w:jc w:val="both"/>
        <w:textAlignment w:val="baseline"/>
        <w:rPr>
          <w:color w:val="000000"/>
          <w:szCs w:val="24"/>
          <w:lang w:eastAsia="lt-LT"/>
        </w:rPr>
      </w:pPr>
      <w:r>
        <w:rPr>
          <w:color w:val="000000"/>
          <w:szCs w:val="24"/>
          <w:lang w:eastAsia="lt-LT"/>
        </w:rPr>
        <w:t>3.3.4. asmuo, pateikęs prašymą ir sudarantis Sutartį Pareiškėjo vardu, yra tinkamai įgaliotas sudaryti ir vykdyti Sutartį Pareiškėjo vardu.</w:t>
      </w:r>
    </w:p>
    <w:p w14:paraId="181DC70E" w14:textId="77777777" w:rsidR="00E127A1" w:rsidRDefault="00E127A1">
      <w:pPr>
        <w:suppressAutoHyphens/>
        <w:ind w:firstLine="782"/>
        <w:jc w:val="both"/>
        <w:textAlignment w:val="baseline"/>
        <w:rPr>
          <w:color w:val="000000"/>
          <w:szCs w:val="24"/>
          <w:lang w:eastAsia="lt-LT"/>
        </w:rPr>
      </w:pPr>
    </w:p>
    <w:p w14:paraId="496A23DA" w14:textId="77777777" w:rsidR="00E127A1" w:rsidRDefault="003562BD">
      <w:pPr>
        <w:suppressAutoHyphens/>
        <w:ind w:firstLine="720"/>
        <w:jc w:val="center"/>
        <w:textAlignment w:val="baseline"/>
      </w:pPr>
      <w:r>
        <w:rPr>
          <w:b/>
          <w:bCs/>
          <w:color w:val="000000"/>
          <w:szCs w:val="24"/>
          <w:lang w:eastAsia="lt-LT"/>
        </w:rPr>
        <w:t>4. SUTARTIES GALIOJIMO TERMINAS IR NUTRAUKIMAS</w:t>
      </w:r>
    </w:p>
    <w:p w14:paraId="07EE2BC7" w14:textId="77777777" w:rsidR="00E127A1" w:rsidRDefault="00E127A1">
      <w:pPr>
        <w:suppressAutoHyphens/>
        <w:ind w:firstLine="782"/>
        <w:jc w:val="both"/>
        <w:textAlignment w:val="baseline"/>
        <w:rPr>
          <w:b/>
          <w:color w:val="000000"/>
          <w:szCs w:val="24"/>
          <w:lang w:eastAsia="lt-LT"/>
        </w:rPr>
      </w:pPr>
    </w:p>
    <w:p w14:paraId="57123301" w14:textId="77777777" w:rsidR="00E127A1" w:rsidRDefault="003562BD">
      <w:pPr>
        <w:suppressAutoHyphens/>
        <w:ind w:firstLine="720"/>
        <w:jc w:val="both"/>
        <w:textAlignment w:val="baseline"/>
        <w:rPr>
          <w:color w:val="000000"/>
          <w:szCs w:val="24"/>
          <w:lang w:eastAsia="lt-LT"/>
        </w:rPr>
      </w:pPr>
      <w:r>
        <w:rPr>
          <w:color w:val="000000"/>
          <w:szCs w:val="24"/>
          <w:lang w:eastAsia="lt-LT"/>
        </w:rPr>
        <w:t>4.1. Sutartis įsigalioja nuo pasirašymo dienos ir galioja iki sąskaitos uždarymo Taisyklėse nustatyta tvarka;</w:t>
      </w:r>
    </w:p>
    <w:p w14:paraId="703B92AA" w14:textId="77777777" w:rsidR="00E127A1" w:rsidRDefault="003562BD">
      <w:pPr>
        <w:suppressAutoHyphens/>
        <w:ind w:firstLine="720"/>
        <w:jc w:val="both"/>
        <w:textAlignment w:val="baseline"/>
        <w:rPr>
          <w:color w:val="000000"/>
          <w:szCs w:val="24"/>
        </w:rPr>
      </w:pPr>
      <w:r>
        <w:rPr>
          <w:color w:val="000000"/>
          <w:szCs w:val="24"/>
          <w:lang w:eastAsia="lt-LT"/>
        </w:rPr>
        <w:t>4.</w:t>
      </w:r>
      <w:r>
        <w:rPr>
          <w:color w:val="000000"/>
          <w:szCs w:val="24"/>
          <w:lang w:val="en-US" w:eastAsia="lt-LT"/>
        </w:rPr>
        <w:t>2</w:t>
      </w:r>
      <w:r>
        <w:rPr>
          <w:color w:val="000000"/>
          <w:szCs w:val="24"/>
          <w:lang w:eastAsia="lt-LT"/>
        </w:rPr>
        <w:t>. Nacionalinis administratorius turi teisę ne vėliau kaip prieš 10 darbo dienų raštu pranešęs apie tai Pareiškėjui nutraukti Sutartį, jeigu po Sutarties sudarymo paaiškėja aplinkybės, dėl kurių būtų priimtas sprendimas atsisakyti atidaryti sąskaitą. Nutraukus Sutartį šiame punkte numatytu atveju visos sąskaitos registruotos sąskaitos turėtojo vardu blokuojamos, o visi jose esantys ATL, aviacijos ATL ir (ar) Kioto vienetai pervedami į Pareiškėjo nurodyto trečiojo asmens sąskaitą arba, jeigu tokio nurodymo nacionalinis administratorius negauna, ATL, aviacijos ATL ir (ar) Kioto vienetai pervedami į nacionalinę sąskaitą, o Pareiškėjo sąskaita (-os) uždaroma (-os);</w:t>
      </w:r>
    </w:p>
    <w:p w14:paraId="387673C7" w14:textId="77777777" w:rsidR="00E127A1" w:rsidRDefault="003562BD">
      <w:pPr>
        <w:suppressAutoHyphens/>
        <w:ind w:firstLine="720"/>
        <w:jc w:val="both"/>
        <w:textAlignment w:val="baseline"/>
      </w:pPr>
      <w:r>
        <w:rPr>
          <w:color w:val="000000"/>
          <w:szCs w:val="24"/>
          <w:lang w:eastAsia="lt-LT"/>
        </w:rPr>
        <w:t>4.3. Ne vėliau kaip prieš 10 darbo dienų pateikęs nacionaliniam administratoriui užpildytą ir pasirašytą nustatytos formos prašymą ir įvykdęs visus Taisyklėse numatytus atitinkamos sąskaitos uždarymui taikomus reikalavimus, Pareiškėjas turi teisę vienašališkai nutraukti Sutartį uždarius visas jo vardu Sąjungos registre atidarytas sąskaitas. Sutarties nutraukimo diena laikoma visų reikalavimų įvykdymo diena.</w:t>
      </w:r>
    </w:p>
    <w:p w14:paraId="3344620D" w14:textId="77777777" w:rsidR="00E127A1" w:rsidRDefault="003562BD">
      <w:pPr>
        <w:suppressAutoHyphens/>
        <w:ind w:firstLine="720"/>
        <w:jc w:val="both"/>
        <w:textAlignment w:val="baseline"/>
        <w:rPr>
          <w:color w:val="000000"/>
          <w:szCs w:val="24"/>
          <w:lang w:eastAsia="lt-LT"/>
        </w:rPr>
      </w:pPr>
      <w:r>
        <w:rPr>
          <w:color w:val="000000"/>
          <w:szCs w:val="24"/>
          <w:lang w:eastAsia="lt-LT"/>
        </w:rPr>
        <w:lastRenderedPageBreak/>
        <w:t>4.4. Sutarties nutraukimas nedaro įtakos trečiųjų asmenų teisėms, atsiradusioms iki Sutarties nutraukimo, įskaitant ir Sutarties nutraukimo dieną.</w:t>
      </w:r>
    </w:p>
    <w:p w14:paraId="61724E82" w14:textId="77777777" w:rsidR="00E127A1" w:rsidRDefault="00E127A1">
      <w:pPr>
        <w:suppressAutoHyphens/>
        <w:jc w:val="center"/>
        <w:textAlignment w:val="baseline"/>
        <w:rPr>
          <w:b/>
          <w:bCs/>
          <w:color w:val="000000"/>
          <w:szCs w:val="24"/>
          <w:lang w:eastAsia="lt-LT"/>
        </w:rPr>
      </w:pPr>
    </w:p>
    <w:p w14:paraId="793ABD7F" w14:textId="77777777" w:rsidR="00E127A1" w:rsidRDefault="003562BD">
      <w:pPr>
        <w:suppressAutoHyphens/>
        <w:jc w:val="center"/>
        <w:textAlignment w:val="baseline"/>
      </w:pPr>
      <w:r>
        <w:rPr>
          <w:b/>
          <w:bCs/>
          <w:color w:val="000000"/>
          <w:szCs w:val="24"/>
          <w:lang w:eastAsia="lt-LT"/>
        </w:rPr>
        <w:t>5. BAIGIAMOSIOS NUOSTATOS</w:t>
      </w:r>
    </w:p>
    <w:p w14:paraId="5D849D08" w14:textId="77777777" w:rsidR="00E127A1" w:rsidRDefault="00E127A1">
      <w:pPr>
        <w:suppressAutoHyphens/>
        <w:ind w:firstLine="720"/>
        <w:jc w:val="center"/>
        <w:textAlignment w:val="baseline"/>
        <w:rPr>
          <w:b/>
          <w:bCs/>
          <w:color w:val="000000"/>
          <w:szCs w:val="24"/>
          <w:lang w:eastAsia="lt-LT"/>
        </w:rPr>
      </w:pPr>
    </w:p>
    <w:p w14:paraId="43892B53" w14:textId="77777777" w:rsidR="00E127A1" w:rsidRDefault="003562BD">
      <w:pPr>
        <w:suppressAutoHyphens/>
        <w:ind w:firstLine="720"/>
        <w:jc w:val="both"/>
        <w:textAlignment w:val="baseline"/>
        <w:rPr>
          <w:color w:val="000000"/>
          <w:szCs w:val="24"/>
          <w:lang w:eastAsia="lt-LT"/>
        </w:rPr>
      </w:pPr>
      <w:r>
        <w:rPr>
          <w:color w:val="000000"/>
          <w:szCs w:val="24"/>
          <w:lang w:eastAsia="lt-LT"/>
        </w:rPr>
        <w:t>5.1. Sutartyje neaptartos sąlygos sprendžiamos vadovaujantis Reglamentu, Taisyklėmis, kitais galiojančiais Lietuvos Respublikos teisės aktais;</w:t>
      </w:r>
    </w:p>
    <w:p w14:paraId="004FECD1" w14:textId="77777777" w:rsidR="00E127A1" w:rsidRDefault="003562BD">
      <w:pPr>
        <w:suppressAutoHyphens/>
        <w:ind w:firstLine="720"/>
        <w:jc w:val="both"/>
        <w:textAlignment w:val="baseline"/>
        <w:rPr>
          <w:color w:val="000000"/>
          <w:szCs w:val="24"/>
          <w:lang w:eastAsia="lt-LT"/>
        </w:rPr>
      </w:pPr>
      <w:r>
        <w:rPr>
          <w:color w:val="000000"/>
          <w:szCs w:val="24"/>
          <w:lang w:eastAsia="lt-LT"/>
        </w:rPr>
        <w:t>5.2. Sutarties pakeitimai ir papildymai įforminami atskiru rašytiniu Šalių susitarimu, kuris yra neatsiejama Sutarties dalis;</w:t>
      </w:r>
    </w:p>
    <w:p w14:paraId="153CC35A" w14:textId="77777777" w:rsidR="00E127A1" w:rsidRDefault="003562BD">
      <w:pPr>
        <w:suppressAutoHyphens/>
        <w:ind w:firstLine="720"/>
        <w:jc w:val="both"/>
        <w:textAlignment w:val="baseline"/>
        <w:rPr>
          <w:color w:val="000000"/>
          <w:szCs w:val="24"/>
          <w:lang w:eastAsia="lt-LT"/>
        </w:rPr>
      </w:pPr>
      <w:r>
        <w:rPr>
          <w:color w:val="000000"/>
          <w:szCs w:val="24"/>
          <w:lang w:eastAsia="lt-LT"/>
        </w:rPr>
        <w:t>5.3. Sutartis sudaryta dviem vienodą teisinę galią turinčiais egzemplioriais, po vieną kiekvienai Šaliai;</w:t>
      </w:r>
    </w:p>
    <w:p w14:paraId="571F1ABA" w14:textId="77777777" w:rsidR="00E127A1" w:rsidRDefault="003562BD">
      <w:pPr>
        <w:suppressAutoHyphens/>
        <w:ind w:firstLine="720"/>
        <w:jc w:val="both"/>
        <w:textAlignment w:val="baseline"/>
      </w:pPr>
      <w:r>
        <w:rPr>
          <w:color w:val="000000"/>
          <w:szCs w:val="24"/>
          <w:lang w:eastAsia="lt-LT"/>
        </w:rPr>
        <w:t xml:space="preserve">5.4. Sutartis sudaryta ir jos nuostatos aiškinamos </w:t>
      </w:r>
      <w:r>
        <w:rPr>
          <w:szCs w:val="24"/>
          <w:lang w:eastAsia="lt-LT"/>
        </w:rPr>
        <w:t>vadovaujantis Lietuvos Respublikos teisės aktais. Visi ginčai dėl Sutarties sprendžiami derybų būdu</w:t>
      </w:r>
      <w:r>
        <w:rPr>
          <w:color w:val="000000"/>
          <w:szCs w:val="24"/>
          <w:lang w:eastAsia="lt-LT"/>
        </w:rPr>
        <w:t>, nesusitarus – Lietuvos Respublikos įstatymuose nustatyta tvarka Lietuvos teismuose.</w:t>
      </w:r>
    </w:p>
    <w:p w14:paraId="5F514145" w14:textId="77777777" w:rsidR="00E127A1" w:rsidRDefault="00E127A1">
      <w:pPr>
        <w:suppressAutoHyphens/>
        <w:ind w:firstLine="782"/>
        <w:jc w:val="both"/>
        <w:textAlignment w:val="baseline"/>
        <w:rPr>
          <w:color w:val="000000"/>
          <w:szCs w:val="24"/>
          <w:lang w:eastAsia="lt-LT"/>
        </w:rPr>
      </w:pPr>
    </w:p>
    <w:p w14:paraId="4B41CF1B" w14:textId="77777777" w:rsidR="00E127A1" w:rsidRDefault="003562BD">
      <w:pPr>
        <w:suppressAutoHyphens/>
        <w:ind w:firstLine="720"/>
        <w:jc w:val="center"/>
        <w:textAlignment w:val="baseline"/>
        <w:rPr>
          <w:b/>
          <w:bCs/>
          <w:color w:val="000000"/>
          <w:szCs w:val="24"/>
          <w:lang w:eastAsia="lt-LT"/>
        </w:rPr>
      </w:pPr>
      <w:r>
        <w:rPr>
          <w:b/>
          <w:bCs/>
          <w:color w:val="000000"/>
          <w:szCs w:val="24"/>
          <w:lang w:eastAsia="lt-LT"/>
        </w:rPr>
        <w:t>6. SUTARTIES ŠALIŲ ADRESAI IR BANKO REKVIZITAI</w:t>
      </w:r>
    </w:p>
    <w:p w14:paraId="36B30CE3" w14:textId="77777777" w:rsidR="00E127A1" w:rsidRDefault="00E127A1">
      <w:pPr>
        <w:suppressAutoHyphens/>
        <w:ind w:firstLine="782"/>
        <w:jc w:val="both"/>
        <w:textAlignment w:val="baseline"/>
        <w:rPr>
          <w:color w:val="000000"/>
          <w:szCs w:val="24"/>
          <w:lang w:eastAsia="lt-LT"/>
        </w:rPr>
      </w:pPr>
    </w:p>
    <w:tbl>
      <w:tblPr>
        <w:tblW w:w="9720" w:type="dxa"/>
        <w:tblCellMar>
          <w:left w:w="10" w:type="dxa"/>
          <w:right w:w="10" w:type="dxa"/>
        </w:tblCellMar>
        <w:tblLook w:val="0000" w:firstRow="0" w:lastRow="0" w:firstColumn="0" w:lastColumn="0" w:noHBand="0" w:noVBand="0"/>
      </w:tblPr>
      <w:tblGrid>
        <w:gridCol w:w="4949"/>
        <w:gridCol w:w="4771"/>
      </w:tblGrid>
      <w:tr w:rsidR="00E127A1" w14:paraId="3E92234B" w14:textId="77777777">
        <w:trPr>
          <w:trHeight w:val="23"/>
        </w:trPr>
        <w:tc>
          <w:tcPr>
            <w:tcW w:w="4949" w:type="dxa"/>
            <w:shd w:val="clear" w:color="auto" w:fill="FFFFFF"/>
            <w:tcMar>
              <w:top w:w="0" w:type="dxa"/>
              <w:left w:w="108" w:type="dxa"/>
              <w:bottom w:w="0" w:type="dxa"/>
              <w:right w:w="108" w:type="dxa"/>
            </w:tcMar>
          </w:tcPr>
          <w:p w14:paraId="0E021E49" w14:textId="77777777" w:rsidR="00E127A1" w:rsidRDefault="003562BD">
            <w:pPr>
              <w:suppressAutoHyphens/>
              <w:textAlignment w:val="baseline"/>
              <w:rPr>
                <w:b/>
                <w:color w:val="000000"/>
                <w:szCs w:val="24"/>
                <w:shd w:val="clear" w:color="auto" w:fill="FFFFFF"/>
                <w:lang w:eastAsia="lt-LT"/>
              </w:rPr>
            </w:pPr>
            <w:r>
              <w:rPr>
                <w:b/>
                <w:color w:val="000000"/>
                <w:szCs w:val="24"/>
                <w:shd w:val="clear" w:color="auto" w:fill="FFFFFF"/>
                <w:lang w:eastAsia="lt-LT"/>
              </w:rPr>
              <w:t xml:space="preserve">Lietuvos Respublikos aplinkos ministerijos </w:t>
            </w:r>
          </w:p>
          <w:p w14:paraId="02508461" w14:textId="77777777" w:rsidR="00E127A1" w:rsidRDefault="003562BD">
            <w:pPr>
              <w:suppressAutoHyphens/>
              <w:textAlignment w:val="baseline"/>
            </w:pPr>
            <w:r>
              <w:rPr>
                <w:b/>
                <w:color w:val="000000"/>
                <w:szCs w:val="24"/>
                <w:shd w:val="clear" w:color="auto" w:fill="FFFFFF"/>
                <w:lang w:eastAsia="lt-LT"/>
              </w:rPr>
              <w:t>Aplinkos projektų valdymo agentūra</w:t>
            </w:r>
          </w:p>
        </w:tc>
        <w:tc>
          <w:tcPr>
            <w:tcW w:w="4771" w:type="dxa"/>
            <w:shd w:val="clear" w:color="auto" w:fill="FFFFFF"/>
            <w:tcMar>
              <w:top w:w="0" w:type="dxa"/>
              <w:left w:w="108" w:type="dxa"/>
              <w:bottom w:w="0" w:type="dxa"/>
              <w:right w:w="108" w:type="dxa"/>
            </w:tcMar>
          </w:tcPr>
          <w:p w14:paraId="65F33702" w14:textId="77777777" w:rsidR="00E127A1" w:rsidRDefault="003562BD">
            <w:pPr>
              <w:suppressAutoHyphens/>
              <w:textAlignment w:val="baseline"/>
            </w:pPr>
            <w:r>
              <w:rPr>
                <w:b/>
                <w:bCs/>
                <w:color w:val="000000"/>
                <w:szCs w:val="24"/>
                <w:lang w:eastAsia="lt-LT"/>
              </w:rPr>
              <w:t>Pareiškėjas</w:t>
            </w:r>
          </w:p>
        </w:tc>
      </w:tr>
      <w:tr w:rsidR="00E127A1" w14:paraId="181F3CCE" w14:textId="77777777">
        <w:trPr>
          <w:trHeight w:val="23"/>
        </w:trPr>
        <w:tc>
          <w:tcPr>
            <w:tcW w:w="4949" w:type="dxa"/>
            <w:shd w:val="clear" w:color="auto" w:fill="FFFFFF"/>
            <w:tcMar>
              <w:top w:w="0" w:type="dxa"/>
              <w:left w:w="108" w:type="dxa"/>
              <w:bottom w:w="0" w:type="dxa"/>
              <w:right w:w="108" w:type="dxa"/>
            </w:tcMar>
          </w:tcPr>
          <w:p w14:paraId="0760BD61" w14:textId="77777777" w:rsidR="00E127A1" w:rsidRDefault="003562BD">
            <w:pPr>
              <w:suppressAutoHyphens/>
              <w:textAlignment w:val="baseline"/>
            </w:pPr>
            <w:r>
              <w:rPr>
                <w:color w:val="000000"/>
                <w:szCs w:val="24"/>
                <w:shd w:val="clear" w:color="auto" w:fill="FFFFFF"/>
                <w:lang w:eastAsia="lt-LT"/>
              </w:rPr>
              <w:t>Juridinio asmens kodas 288779560</w:t>
            </w:r>
          </w:p>
          <w:p w14:paraId="254DF081" w14:textId="77777777" w:rsidR="00E127A1" w:rsidRDefault="003562BD">
            <w:pPr>
              <w:suppressAutoHyphens/>
              <w:textAlignment w:val="baseline"/>
            </w:pPr>
            <w:r>
              <w:rPr>
                <w:color w:val="000000"/>
                <w:szCs w:val="24"/>
                <w:lang w:eastAsia="lt-LT"/>
              </w:rPr>
              <w:t xml:space="preserve">Buveinės adresas </w:t>
            </w:r>
            <w:r>
              <w:rPr>
                <w:color w:val="000000"/>
                <w:szCs w:val="24"/>
                <w:shd w:val="clear" w:color="auto" w:fill="FFFFFF"/>
                <w:lang w:eastAsia="lt-LT"/>
              </w:rPr>
              <w:t xml:space="preserve">Labdarių g. 3, </w:t>
            </w:r>
          </w:p>
          <w:p w14:paraId="3A105C88" w14:textId="77777777" w:rsidR="00E127A1" w:rsidRDefault="003562BD">
            <w:pPr>
              <w:suppressAutoHyphens/>
              <w:textAlignment w:val="baseline"/>
            </w:pPr>
            <w:r>
              <w:rPr>
                <w:color w:val="000000"/>
                <w:szCs w:val="24"/>
                <w:shd w:val="clear" w:color="auto" w:fill="FFFFFF"/>
                <w:lang w:eastAsia="lt-LT"/>
              </w:rPr>
              <w:t xml:space="preserve">LT-01120 </w:t>
            </w:r>
            <w:r>
              <w:rPr>
                <w:color w:val="000000"/>
                <w:szCs w:val="24"/>
                <w:lang w:eastAsia="lt-LT"/>
              </w:rPr>
              <w:t>Vilnius</w:t>
            </w:r>
          </w:p>
          <w:p w14:paraId="20BA94D1" w14:textId="77777777" w:rsidR="00E127A1" w:rsidRDefault="00E127A1">
            <w:pPr>
              <w:suppressAutoHyphens/>
              <w:textAlignment w:val="baseline"/>
            </w:pPr>
          </w:p>
          <w:p w14:paraId="30EBCD60" w14:textId="77777777" w:rsidR="00E127A1" w:rsidRDefault="003562BD">
            <w:pPr>
              <w:suppressAutoHyphens/>
              <w:textAlignment w:val="baseline"/>
            </w:pPr>
            <w:r>
              <w:rPr>
                <w:color w:val="000000"/>
                <w:szCs w:val="24"/>
                <w:lang w:eastAsia="lt-LT"/>
              </w:rPr>
              <w:t>El. pašt</w:t>
            </w:r>
            <w:r>
              <w:rPr>
                <w:szCs w:val="24"/>
                <w:lang w:eastAsia="lt-LT"/>
              </w:rPr>
              <w:t>as</w:t>
            </w:r>
            <w:r>
              <w:rPr>
                <w:bCs/>
                <w:szCs w:val="24"/>
                <w:lang w:eastAsia="lt-LT"/>
              </w:rPr>
              <w:t>:</w:t>
            </w:r>
            <w:r>
              <w:rPr>
                <w:b/>
                <w:szCs w:val="24"/>
                <w:lang w:eastAsia="lt-LT"/>
              </w:rPr>
              <w:t xml:space="preserve"> </w:t>
            </w:r>
            <w:r>
              <w:rPr>
                <w:szCs w:val="24"/>
                <w:lang w:eastAsia="lt-LT"/>
              </w:rPr>
              <w:t>apva@apva.lt</w:t>
            </w:r>
          </w:p>
          <w:p w14:paraId="61329F3C" w14:textId="77777777" w:rsidR="00E127A1" w:rsidRDefault="003562BD">
            <w:pPr>
              <w:suppressAutoHyphens/>
              <w:textAlignment w:val="baseline"/>
              <w:rPr>
                <w:color w:val="000000"/>
                <w:szCs w:val="24"/>
                <w:lang w:eastAsia="lt-LT"/>
              </w:rPr>
            </w:pPr>
            <w:r>
              <w:rPr>
                <w:color w:val="000000"/>
                <w:szCs w:val="24"/>
                <w:lang w:eastAsia="lt-LT"/>
              </w:rPr>
              <w:t>Tel. 8 646 02 285</w:t>
            </w:r>
          </w:p>
          <w:p w14:paraId="6E13A5F3" w14:textId="77777777" w:rsidR="00E127A1" w:rsidRDefault="00E127A1">
            <w:pPr>
              <w:suppressAutoHyphens/>
              <w:textAlignment w:val="baseline"/>
            </w:pPr>
          </w:p>
          <w:p w14:paraId="02D23D5D" w14:textId="77777777" w:rsidR="00E127A1" w:rsidRDefault="003562BD">
            <w:pPr>
              <w:suppressAutoHyphens/>
              <w:textAlignment w:val="baseline"/>
            </w:pPr>
            <w:r>
              <w:rPr>
                <w:color w:val="000000"/>
                <w:szCs w:val="24"/>
                <w:lang w:eastAsia="lt-LT"/>
              </w:rPr>
              <w:t xml:space="preserve">A. s. Nr. </w:t>
            </w:r>
            <w:r>
              <w:rPr>
                <w:szCs w:val="24"/>
                <w:lang w:eastAsia="lt-LT"/>
              </w:rPr>
              <w:t>40 7300010099417546</w:t>
            </w:r>
          </w:p>
          <w:p w14:paraId="5688C36B" w14:textId="77777777" w:rsidR="00E127A1" w:rsidRDefault="003562BD">
            <w:pPr>
              <w:suppressAutoHyphens/>
              <w:textAlignment w:val="baseline"/>
              <w:rPr>
                <w:szCs w:val="24"/>
                <w:lang w:eastAsia="lt-LT"/>
              </w:rPr>
            </w:pPr>
            <w:r>
              <w:rPr>
                <w:szCs w:val="24"/>
                <w:lang w:eastAsia="lt-LT"/>
              </w:rPr>
              <w:t>Bankas: AB  Swedbank</w:t>
            </w:r>
          </w:p>
          <w:p w14:paraId="57BDC746" w14:textId="77777777" w:rsidR="00E127A1" w:rsidRDefault="003562BD">
            <w:pPr>
              <w:suppressAutoHyphens/>
              <w:textAlignment w:val="baseline"/>
              <w:rPr>
                <w:szCs w:val="24"/>
                <w:lang w:eastAsia="lt-LT"/>
              </w:rPr>
            </w:pPr>
            <w:r>
              <w:rPr>
                <w:szCs w:val="24"/>
                <w:lang w:eastAsia="lt-LT"/>
              </w:rPr>
              <w:t>Banko kodas: 73000</w:t>
            </w:r>
          </w:p>
          <w:p w14:paraId="2692AC63" w14:textId="77777777" w:rsidR="00E127A1" w:rsidRDefault="00E127A1">
            <w:pPr>
              <w:suppressAutoHyphens/>
              <w:textAlignment w:val="baseline"/>
              <w:rPr>
                <w:color w:val="000000"/>
                <w:szCs w:val="24"/>
                <w:lang w:eastAsia="lt-LT"/>
              </w:rPr>
            </w:pPr>
          </w:p>
          <w:p w14:paraId="63EC1147" w14:textId="77777777" w:rsidR="00E127A1" w:rsidRDefault="003562BD">
            <w:pPr>
              <w:suppressAutoHyphens/>
              <w:textAlignment w:val="baseline"/>
              <w:rPr>
                <w:color w:val="000000"/>
                <w:sz w:val="20"/>
                <w:lang w:eastAsia="lt-LT"/>
              </w:rPr>
            </w:pPr>
            <w:r>
              <w:rPr>
                <w:color w:val="000000"/>
                <w:sz w:val="20"/>
                <w:lang w:eastAsia="lt-LT"/>
              </w:rPr>
              <w:t>Pareigos</w:t>
            </w:r>
          </w:p>
          <w:p w14:paraId="725FBD49" w14:textId="77777777" w:rsidR="00E127A1" w:rsidRDefault="00E127A1">
            <w:pPr>
              <w:suppressAutoHyphens/>
              <w:textAlignment w:val="baseline"/>
              <w:rPr>
                <w:strike/>
                <w:color w:val="000000"/>
                <w:szCs w:val="24"/>
                <w:lang w:eastAsia="lt-LT"/>
              </w:rPr>
            </w:pPr>
          </w:p>
        </w:tc>
        <w:tc>
          <w:tcPr>
            <w:tcW w:w="4771" w:type="dxa"/>
            <w:shd w:val="clear" w:color="auto" w:fill="FFFFFF"/>
            <w:tcMar>
              <w:top w:w="0" w:type="dxa"/>
              <w:left w:w="108" w:type="dxa"/>
              <w:bottom w:w="0" w:type="dxa"/>
              <w:right w:w="108" w:type="dxa"/>
            </w:tcMar>
          </w:tcPr>
          <w:p w14:paraId="5DED9A52" w14:textId="77777777" w:rsidR="00E127A1" w:rsidRDefault="003562BD">
            <w:pPr>
              <w:suppressAutoHyphens/>
              <w:textAlignment w:val="baseline"/>
              <w:rPr>
                <w:color w:val="000000"/>
                <w:szCs w:val="24"/>
                <w:shd w:val="clear" w:color="auto" w:fill="FFFFFF"/>
                <w:lang w:eastAsia="lt-LT"/>
              </w:rPr>
            </w:pPr>
            <w:r>
              <w:rPr>
                <w:color w:val="000000"/>
                <w:szCs w:val="24"/>
                <w:shd w:val="clear" w:color="auto" w:fill="FFFFFF"/>
                <w:lang w:eastAsia="lt-LT"/>
              </w:rPr>
              <w:t>Juridinio asmens kodas</w:t>
            </w:r>
          </w:p>
          <w:p w14:paraId="7F461EEA" w14:textId="77777777" w:rsidR="00E127A1" w:rsidRDefault="003562BD">
            <w:pPr>
              <w:suppressAutoHyphens/>
              <w:textAlignment w:val="baseline"/>
              <w:rPr>
                <w:color w:val="000000"/>
                <w:szCs w:val="24"/>
                <w:lang w:eastAsia="lt-LT"/>
              </w:rPr>
            </w:pPr>
            <w:r>
              <w:rPr>
                <w:color w:val="000000"/>
                <w:szCs w:val="24"/>
                <w:lang w:eastAsia="lt-LT"/>
              </w:rPr>
              <w:t>Buveinės adresas</w:t>
            </w:r>
          </w:p>
          <w:p w14:paraId="401D0320" w14:textId="77777777" w:rsidR="00E127A1" w:rsidRDefault="00E127A1">
            <w:pPr>
              <w:suppressAutoHyphens/>
              <w:ind w:left="1147" w:firstLine="62"/>
              <w:textAlignment w:val="baseline"/>
            </w:pPr>
          </w:p>
          <w:p w14:paraId="340DAFE1" w14:textId="77777777" w:rsidR="00E127A1" w:rsidRDefault="00E127A1">
            <w:pPr>
              <w:suppressAutoHyphens/>
              <w:ind w:left="1147" w:firstLine="62"/>
              <w:textAlignment w:val="baseline"/>
            </w:pPr>
          </w:p>
          <w:p w14:paraId="0C2108A2" w14:textId="77777777" w:rsidR="00E127A1" w:rsidRDefault="003562BD">
            <w:pPr>
              <w:suppressAutoHyphens/>
              <w:textAlignment w:val="baseline"/>
            </w:pPr>
            <w:r>
              <w:rPr>
                <w:color w:val="000000"/>
                <w:szCs w:val="24"/>
                <w:lang w:eastAsia="lt-LT"/>
              </w:rPr>
              <w:t>El. pašt</w:t>
            </w:r>
            <w:r>
              <w:rPr>
                <w:szCs w:val="24"/>
                <w:lang w:eastAsia="lt-LT"/>
              </w:rPr>
              <w:t>as</w:t>
            </w:r>
            <w:r>
              <w:rPr>
                <w:bCs/>
                <w:szCs w:val="24"/>
                <w:lang w:eastAsia="lt-LT"/>
              </w:rPr>
              <w:t>:</w:t>
            </w:r>
          </w:p>
          <w:p w14:paraId="6A54E3AC" w14:textId="77777777" w:rsidR="00E127A1" w:rsidRDefault="003562BD">
            <w:pPr>
              <w:suppressAutoHyphens/>
              <w:textAlignment w:val="baseline"/>
              <w:rPr>
                <w:color w:val="000000"/>
                <w:szCs w:val="24"/>
                <w:lang w:eastAsia="lt-LT"/>
              </w:rPr>
            </w:pPr>
            <w:r>
              <w:rPr>
                <w:color w:val="000000"/>
                <w:szCs w:val="24"/>
                <w:lang w:eastAsia="lt-LT"/>
              </w:rPr>
              <w:t>Tel.</w:t>
            </w:r>
          </w:p>
          <w:p w14:paraId="55AF3FDC" w14:textId="77777777" w:rsidR="00E127A1" w:rsidRDefault="00E127A1">
            <w:pPr>
              <w:suppressAutoHyphens/>
              <w:ind w:left="1147" w:firstLine="62"/>
              <w:textAlignment w:val="baseline"/>
              <w:rPr>
                <w:color w:val="000000"/>
                <w:szCs w:val="24"/>
                <w:lang w:eastAsia="lt-LT"/>
              </w:rPr>
            </w:pPr>
          </w:p>
          <w:p w14:paraId="3F31B6DC" w14:textId="77777777" w:rsidR="00E127A1" w:rsidRDefault="003562BD">
            <w:pPr>
              <w:suppressAutoHyphens/>
              <w:textAlignment w:val="baseline"/>
              <w:rPr>
                <w:color w:val="000000"/>
                <w:szCs w:val="24"/>
                <w:lang w:eastAsia="lt-LT"/>
              </w:rPr>
            </w:pPr>
            <w:r>
              <w:rPr>
                <w:color w:val="000000"/>
                <w:szCs w:val="24"/>
                <w:lang w:eastAsia="lt-LT"/>
              </w:rPr>
              <w:t xml:space="preserve">A. s. Nr. </w:t>
            </w:r>
          </w:p>
          <w:p w14:paraId="7140EAE3" w14:textId="77777777" w:rsidR="00E127A1" w:rsidRDefault="003562BD">
            <w:pPr>
              <w:suppressAutoHyphens/>
              <w:textAlignment w:val="baseline"/>
              <w:rPr>
                <w:szCs w:val="24"/>
                <w:lang w:eastAsia="lt-LT"/>
              </w:rPr>
            </w:pPr>
            <w:r>
              <w:rPr>
                <w:szCs w:val="24"/>
                <w:lang w:eastAsia="lt-LT"/>
              </w:rPr>
              <w:t>Bankas:</w:t>
            </w:r>
          </w:p>
          <w:p w14:paraId="628005EB" w14:textId="77777777" w:rsidR="00E127A1" w:rsidRDefault="003562BD">
            <w:pPr>
              <w:suppressAutoHyphens/>
              <w:textAlignment w:val="baseline"/>
              <w:rPr>
                <w:szCs w:val="24"/>
                <w:lang w:eastAsia="lt-LT"/>
              </w:rPr>
            </w:pPr>
            <w:r>
              <w:rPr>
                <w:szCs w:val="24"/>
                <w:lang w:eastAsia="lt-LT"/>
              </w:rPr>
              <w:t>Banko kodas:</w:t>
            </w:r>
          </w:p>
          <w:p w14:paraId="646FE129" w14:textId="77777777" w:rsidR="00E127A1" w:rsidRDefault="00E127A1">
            <w:pPr>
              <w:suppressAutoHyphens/>
              <w:ind w:left="1147"/>
              <w:textAlignment w:val="baseline"/>
              <w:rPr>
                <w:color w:val="000000"/>
                <w:szCs w:val="24"/>
                <w:lang w:eastAsia="lt-LT"/>
              </w:rPr>
            </w:pPr>
          </w:p>
          <w:p w14:paraId="331DC51A" w14:textId="77777777" w:rsidR="00E127A1" w:rsidRDefault="003562BD">
            <w:pPr>
              <w:suppressAutoHyphens/>
              <w:textAlignment w:val="baseline"/>
            </w:pPr>
            <w:r>
              <w:rPr>
                <w:color w:val="000000"/>
                <w:sz w:val="20"/>
                <w:lang w:eastAsia="lt-LT"/>
              </w:rPr>
              <w:t>Pareigos</w:t>
            </w:r>
          </w:p>
        </w:tc>
      </w:tr>
      <w:tr w:rsidR="00E127A1" w14:paraId="1078996A" w14:textId="77777777">
        <w:trPr>
          <w:trHeight w:val="23"/>
        </w:trPr>
        <w:tc>
          <w:tcPr>
            <w:tcW w:w="4949" w:type="dxa"/>
            <w:shd w:val="clear" w:color="auto" w:fill="FFFFFF"/>
            <w:tcMar>
              <w:top w:w="0" w:type="dxa"/>
              <w:left w:w="108" w:type="dxa"/>
              <w:bottom w:w="0" w:type="dxa"/>
              <w:right w:w="108" w:type="dxa"/>
            </w:tcMar>
          </w:tcPr>
          <w:p w14:paraId="016C73D2" w14:textId="77777777" w:rsidR="00E127A1" w:rsidRDefault="00E127A1">
            <w:pPr>
              <w:suppressAutoHyphens/>
              <w:ind w:firstLine="62"/>
              <w:textAlignment w:val="baseline"/>
              <w:rPr>
                <w:color w:val="000000"/>
                <w:szCs w:val="24"/>
                <w:lang w:eastAsia="lt-LT"/>
              </w:rPr>
            </w:pPr>
          </w:p>
          <w:p w14:paraId="38A3EF9E" w14:textId="77777777" w:rsidR="00E127A1" w:rsidRDefault="003562BD">
            <w:pPr>
              <w:suppressAutoHyphens/>
              <w:textAlignment w:val="baseline"/>
              <w:rPr>
                <w:color w:val="000000"/>
                <w:szCs w:val="24"/>
                <w:lang w:eastAsia="lt-LT"/>
              </w:rPr>
            </w:pPr>
            <w:r>
              <w:rPr>
                <w:color w:val="000000"/>
                <w:szCs w:val="24"/>
                <w:lang w:eastAsia="lt-LT"/>
              </w:rPr>
              <w:t>_______________ A. V.</w:t>
            </w:r>
          </w:p>
          <w:p w14:paraId="042C6050" w14:textId="77777777" w:rsidR="00E127A1" w:rsidRDefault="003562BD">
            <w:pPr>
              <w:suppressAutoHyphens/>
              <w:textAlignment w:val="baseline"/>
              <w:rPr>
                <w:sz w:val="20"/>
              </w:rPr>
            </w:pPr>
            <w:r>
              <w:rPr>
                <w:color w:val="000000"/>
                <w:sz w:val="20"/>
                <w:lang w:eastAsia="lt-LT"/>
              </w:rPr>
              <w:t>(parašas)</w:t>
            </w:r>
          </w:p>
        </w:tc>
        <w:tc>
          <w:tcPr>
            <w:tcW w:w="4771" w:type="dxa"/>
            <w:shd w:val="clear" w:color="auto" w:fill="FFFFFF"/>
            <w:tcMar>
              <w:top w:w="0" w:type="dxa"/>
              <w:left w:w="108" w:type="dxa"/>
              <w:bottom w:w="0" w:type="dxa"/>
              <w:right w:w="108" w:type="dxa"/>
            </w:tcMar>
          </w:tcPr>
          <w:p w14:paraId="357788D2" w14:textId="77777777" w:rsidR="00E127A1" w:rsidRDefault="00E127A1">
            <w:pPr>
              <w:suppressAutoHyphens/>
              <w:ind w:firstLine="62"/>
              <w:textAlignment w:val="baseline"/>
              <w:rPr>
                <w:color w:val="000000"/>
                <w:szCs w:val="24"/>
                <w:lang w:eastAsia="lt-LT"/>
              </w:rPr>
            </w:pPr>
          </w:p>
          <w:p w14:paraId="45C8BD20" w14:textId="77777777" w:rsidR="00E127A1" w:rsidRDefault="003562BD">
            <w:pPr>
              <w:suppressAutoHyphens/>
              <w:textAlignment w:val="baseline"/>
              <w:rPr>
                <w:color w:val="000000"/>
                <w:szCs w:val="24"/>
                <w:lang w:eastAsia="lt-LT"/>
              </w:rPr>
            </w:pPr>
            <w:r>
              <w:rPr>
                <w:color w:val="000000"/>
                <w:szCs w:val="24"/>
                <w:lang w:eastAsia="lt-LT"/>
              </w:rPr>
              <w:t>_______________ A. V.</w:t>
            </w:r>
          </w:p>
          <w:p w14:paraId="410C507D" w14:textId="77777777" w:rsidR="00E127A1" w:rsidRDefault="003562BD">
            <w:pPr>
              <w:suppressAutoHyphens/>
              <w:textAlignment w:val="baseline"/>
              <w:rPr>
                <w:color w:val="000000"/>
                <w:sz w:val="20"/>
                <w:lang w:eastAsia="lt-LT"/>
              </w:rPr>
            </w:pPr>
            <w:r>
              <w:rPr>
                <w:color w:val="000000"/>
                <w:sz w:val="20"/>
                <w:lang w:eastAsia="lt-LT"/>
              </w:rPr>
              <w:t>(parašas)</w:t>
            </w:r>
          </w:p>
        </w:tc>
      </w:tr>
    </w:tbl>
    <w:p w14:paraId="7DA22E5A" w14:textId="77777777" w:rsidR="00E127A1" w:rsidRDefault="00E127A1">
      <w:pPr>
        <w:suppressAutoHyphens/>
        <w:jc w:val="both"/>
        <w:textAlignment w:val="baseline"/>
        <w:rPr>
          <w:color w:val="000000"/>
          <w:szCs w:val="24"/>
          <w:lang w:eastAsia="lt-LT"/>
        </w:rPr>
      </w:pPr>
    </w:p>
    <w:p w14:paraId="51D93166" w14:textId="77777777" w:rsidR="00E127A1" w:rsidRDefault="00E127A1">
      <w:pPr>
        <w:suppressAutoHyphens/>
        <w:jc w:val="both"/>
        <w:textAlignment w:val="baseline"/>
        <w:rPr>
          <w:color w:val="000000"/>
          <w:szCs w:val="24"/>
          <w:lang w:eastAsia="lt-LT"/>
        </w:rPr>
      </w:pPr>
    </w:p>
    <w:p w14:paraId="1448F5E4" w14:textId="77777777" w:rsidR="00E127A1" w:rsidRDefault="003562BD" w:rsidP="003562BD">
      <w:pPr>
        <w:suppressAutoHyphens/>
        <w:jc w:val="center"/>
        <w:textAlignment w:val="baseline"/>
      </w:pPr>
      <w:r>
        <w:rPr>
          <w:color w:val="000000"/>
          <w:szCs w:val="24"/>
          <w:lang w:eastAsia="lt-LT"/>
        </w:rPr>
        <w:t>_________________</w:t>
      </w:r>
    </w:p>
    <w:sectPr w:rsidR="00E127A1">
      <w:headerReference w:type="default" r:id="rId7"/>
      <w:pgSz w:w="11907" w:h="16840"/>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865D6" w14:textId="77777777" w:rsidR="00CA5ACC" w:rsidRDefault="00CA5ACC">
      <w:pPr>
        <w:textAlignment w:val="baseline"/>
      </w:pPr>
      <w:r>
        <w:separator/>
      </w:r>
    </w:p>
  </w:endnote>
  <w:endnote w:type="continuationSeparator" w:id="0">
    <w:p w14:paraId="741214FE" w14:textId="77777777" w:rsidR="00CA5ACC" w:rsidRDefault="00CA5ACC">
      <w:pPr>
        <w:textAlignment w:val="baseline"/>
      </w:pPr>
      <w:r>
        <w:continuationSeparator/>
      </w:r>
    </w:p>
  </w:endnote>
  <w:endnote w:type="continuationNotice" w:id="1">
    <w:p w14:paraId="77E4DF5B" w14:textId="77777777" w:rsidR="00CA5ACC" w:rsidRDefault="00CA5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9E2A8" w14:textId="77777777" w:rsidR="00CA5ACC" w:rsidRDefault="00CA5ACC">
      <w:pPr>
        <w:textAlignment w:val="baseline"/>
      </w:pPr>
      <w:r>
        <w:rPr>
          <w:color w:val="000000"/>
        </w:rPr>
        <w:separator/>
      </w:r>
    </w:p>
  </w:footnote>
  <w:footnote w:type="continuationSeparator" w:id="0">
    <w:p w14:paraId="0BBCBB69" w14:textId="77777777" w:rsidR="00CA5ACC" w:rsidRDefault="00CA5ACC">
      <w:pPr>
        <w:textAlignment w:val="baseline"/>
      </w:pPr>
      <w:r>
        <w:continuationSeparator/>
      </w:r>
    </w:p>
  </w:footnote>
  <w:footnote w:type="continuationNotice" w:id="1">
    <w:p w14:paraId="3FB2259D" w14:textId="77777777" w:rsidR="00CA5ACC" w:rsidRDefault="00CA5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8BF2" w14:textId="77777777" w:rsidR="00E127A1" w:rsidRDefault="003562BD">
    <w:pPr>
      <w:tabs>
        <w:tab w:val="center" w:pos="4819"/>
        <w:tab w:val="right" w:pos="9638"/>
      </w:tabs>
      <w:jc w:val="center"/>
      <w:textAlignment w:val="baseline"/>
    </w:pPr>
    <w:r>
      <w:fldChar w:fldCharType="begin"/>
    </w:r>
    <w:r>
      <w:instrText>PAGE   \* MERGEFORMAT</w:instrText>
    </w:r>
    <w:r>
      <w:fldChar w:fldCharType="separate"/>
    </w:r>
    <w:r>
      <w:rPr>
        <w:noProof/>
      </w:rPr>
      <w:t>3</w:t>
    </w:r>
    <w:r>
      <w:fldChar w:fldCharType="end"/>
    </w:r>
  </w:p>
  <w:p w14:paraId="64A5B148" w14:textId="77777777" w:rsidR="00E127A1" w:rsidRDefault="00E127A1">
    <w:pPr>
      <w:tabs>
        <w:tab w:val="center" w:pos="4819"/>
        <w:tab w:val="right" w:pos="9638"/>
      </w:tab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1298"/>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55C"/>
    <w:rsid w:val="000B2D79"/>
    <w:rsid w:val="003562BD"/>
    <w:rsid w:val="00936EBD"/>
    <w:rsid w:val="00B9155C"/>
    <w:rsid w:val="00CA5ACC"/>
    <w:rsid w:val="00E127A1"/>
    <w:rsid w:val="00F74176"/>
    <w:rsid w:val="00FD2B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DC293"/>
  <w15:docId w15:val="{81A75EA9-9028-4C7A-ADD5-13D1FDD3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562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9274-CCD4-495D-B806-DB235611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LIETUVOS RESPUBLIKOS APLINKOS MINISTRO</vt:lpstr>
    </vt:vector>
  </TitlesOfParts>
  <Company/>
  <LinksUpToDate>false</LinksUpToDate>
  <CharactersWithSpaces>7418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Toma Juraitė</cp:lastModifiedBy>
  <cp:revision>5</cp:revision>
  <dcterms:created xsi:type="dcterms:W3CDTF">2021-04-08T05:13:00Z</dcterms:created>
  <dcterms:modified xsi:type="dcterms:W3CDTF">2021-04-08T13:32:00Z</dcterms:modified>
</cp:coreProperties>
</file>