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671B38" w14:textId="77777777" w:rsidR="00376C31" w:rsidRPr="00376C31" w:rsidRDefault="00376C31" w:rsidP="00376C31">
      <w:pPr>
        <w:spacing w:after="600" w:line="560" w:lineRule="atLeast"/>
        <w:contextualSpacing/>
        <w:jc w:val="both"/>
        <w:rPr>
          <w:rFonts w:ascii="Arial" w:eastAsia="Times New Roman" w:hAnsi="Arial" w:cs="Times New Roman"/>
          <w:b/>
          <w:color w:val="0081C6"/>
          <w:kern w:val="28"/>
          <w:sz w:val="44"/>
          <w:szCs w:val="44"/>
          <w:lang w:val="en-GB"/>
          <w14:ligatures w14:val="none"/>
        </w:rPr>
      </w:pPr>
      <w:bookmarkStart w:id="0" w:name="_Toc64978231"/>
      <w:bookmarkStart w:id="1" w:name="_Toc178945854"/>
      <w:bookmarkStart w:id="2" w:name="_Toc59100543"/>
      <w:bookmarkStart w:id="3" w:name="_Toc171431151"/>
      <w:bookmarkStart w:id="4" w:name="_Toc128532381"/>
      <w:bookmarkStart w:id="5" w:name="_Toc105575505"/>
      <w:bookmarkStart w:id="6" w:name="_Toc338068539"/>
      <w:bookmarkStart w:id="7" w:name="_Toc186874539"/>
    </w:p>
    <w:p w14:paraId="528C029E" w14:textId="77777777" w:rsidR="00376C31" w:rsidRPr="00376C31" w:rsidRDefault="00376C31" w:rsidP="00376C31">
      <w:pPr>
        <w:spacing w:after="600" w:line="560" w:lineRule="atLeast"/>
        <w:contextualSpacing/>
        <w:jc w:val="both"/>
        <w:rPr>
          <w:rFonts w:ascii="Arial" w:eastAsia="Times New Roman" w:hAnsi="Arial" w:cs="Times New Roman"/>
          <w:b/>
          <w:color w:val="0081C6"/>
          <w:kern w:val="28"/>
          <w:sz w:val="44"/>
          <w:szCs w:val="44"/>
          <w:lang w:val="en-GB"/>
          <w14:ligatures w14:val="none"/>
        </w:rPr>
      </w:pPr>
      <w:r w:rsidRPr="00376C31">
        <w:rPr>
          <w:rFonts w:ascii="Arial" w:eastAsia="Times New Roman" w:hAnsi="Arial" w:cs="Times New Roman"/>
          <w:b/>
          <w:noProof/>
          <w:color w:val="0081C6"/>
          <w:kern w:val="28"/>
          <w:sz w:val="44"/>
          <w:szCs w:val="44"/>
          <w:lang w:val="en-GB"/>
          <w14:ligatures w14:val="none"/>
        </w:rPr>
        <w:drawing>
          <wp:anchor distT="0" distB="0" distL="114300" distR="114300" simplePos="0" relativeHeight="251658240" behindDoc="0" locked="0" layoutInCell="1" allowOverlap="1" wp14:anchorId="5504A669" wp14:editId="49836A60">
            <wp:simplePos x="0" y="0"/>
            <wp:positionH relativeFrom="page">
              <wp:posOffset>-76362</wp:posOffset>
            </wp:positionH>
            <wp:positionV relativeFrom="paragraph">
              <wp:posOffset>204470</wp:posOffset>
            </wp:positionV>
            <wp:extent cx="7655442" cy="1904889"/>
            <wp:effectExtent l="0" t="0" r="3175" b="635"/>
            <wp:wrapNone/>
            <wp:docPr id="10" name="Picture 10" descr="A field of solar panel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A field of solar panels&#10;&#10;Description automatically generated"/>
                    <pic:cNvPicPr/>
                  </pic:nvPicPr>
                  <pic:blipFill>
                    <a:blip r:embed="rId11">
                      <a:extLst>
                        <a:ext uri="{28A0092B-C50C-407E-A947-70E740481C1C}">
                          <a14:useLocalDpi xmlns:a14="http://schemas.microsoft.com/office/drawing/2010/main" val="0"/>
                        </a:ext>
                      </a:extLst>
                    </a:blip>
                    <a:stretch>
                      <a:fillRect/>
                    </a:stretch>
                  </pic:blipFill>
                  <pic:spPr>
                    <a:xfrm>
                      <a:off x="0" y="0"/>
                      <a:ext cx="7655442" cy="1904889"/>
                    </a:xfrm>
                    <a:prstGeom prst="rect">
                      <a:avLst/>
                    </a:prstGeom>
                  </pic:spPr>
                </pic:pic>
              </a:graphicData>
            </a:graphic>
            <wp14:sizeRelH relativeFrom="page">
              <wp14:pctWidth>0</wp14:pctWidth>
            </wp14:sizeRelH>
            <wp14:sizeRelV relativeFrom="page">
              <wp14:pctHeight>0</wp14:pctHeight>
            </wp14:sizeRelV>
          </wp:anchor>
        </w:drawing>
      </w:r>
    </w:p>
    <w:p w14:paraId="604D47FB" w14:textId="77777777" w:rsidR="00376C31" w:rsidRPr="00376C31" w:rsidRDefault="00376C31" w:rsidP="00376C31">
      <w:pPr>
        <w:spacing w:after="600" w:line="560" w:lineRule="atLeast"/>
        <w:contextualSpacing/>
        <w:jc w:val="both"/>
        <w:rPr>
          <w:rFonts w:ascii="Arial" w:eastAsia="Times New Roman" w:hAnsi="Arial" w:cs="Times New Roman"/>
          <w:b/>
          <w:color w:val="0081C6"/>
          <w:kern w:val="28"/>
          <w:sz w:val="44"/>
          <w:szCs w:val="44"/>
          <w:lang w:val="en-GB"/>
          <w14:ligatures w14:val="none"/>
        </w:rPr>
      </w:pPr>
    </w:p>
    <w:p w14:paraId="0FCF4732" w14:textId="77777777" w:rsidR="00376C31" w:rsidRPr="00376C31" w:rsidRDefault="00376C31" w:rsidP="00376C31">
      <w:pPr>
        <w:spacing w:after="600" w:line="560" w:lineRule="atLeast"/>
        <w:contextualSpacing/>
        <w:jc w:val="both"/>
        <w:rPr>
          <w:rFonts w:ascii="Arial" w:eastAsia="Times New Roman" w:hAnsi="Arial" w:cs="Times New Roman"/>
          <w:b/>
          <w:color w:val="0081C6"/>
          <w:kern w:val="28"/>
          <w:sz w:val="44"/>
          <w:szCs w:val="44"/>
          <w:lang w:val="en-GB"/>
          <w14:ligatures w14:val="none"/>
        </w:rPr>
      </w:pPr>
    </w:p>
    <w:p w14:paraId="1DEB08EE" w14:textId="77777777" w:rsidR="00376C31" w:rsidRPr="00376C31" w:rsidRDefault="00376C31" w:rsidP="00376C31">
      <w:pPr>
        <w:spacing w:after="600" w:line="560" w:lineRule="atLeast"/>
        <w:contextualSpacing/>
        <w:jc w:val="both"/>
        <w:rPr>
          <w:rFonts w:ascii="Arial" w:eastAsia="Times New Roman" w:hAnsi="Arial" w:cs="Times New Roman"/>
          <w:b/>
          <w:color w:val="0081C6"/>
          <w:kern w:val="28"/>
          <w:sz w:val="44"/>
          <w:szCs w:val="44"/>
          <w:lang w:val="en-GB"/>
          <w14:ligatures w14:val="none"/>
        </w:rPr>
      </w:pPr>
    </w:p>
    <w:p w14:paraId="5CC25C0A" w14:textId="77777777" w:rsidR="00376C31" w:rsidRPr="00376C31" w:rsidRDefault="00376C31" w:rsidP="00376C31">
      <w:pPr>
        <w:spacing w:after="600" w:line="560" w:lineRule="atLeast"/>
        <w:contextualSpacing/>
        <w:jc w:val="both"/>
        <w:rPr>
          <w:rFonts w:ascii="Arial" w:eastAsia="Times New Roman" w:hAnsi="Arial" w:cs="Times New Roman"/>
          <w:b/>
          <w:color w:val="0081C6"/>
          <w:kern w:val="28"/>
          <w:sz w:val="44"/>
          <w:szCs w:val="44"/>
          <w:lang w:val="en-GB"/>
          <w14:ligatures w14:val="none"/>
        </w:rPr>
      </w:pPr>
    </w:p>
    <w:p w14:paraId="2751D3B6" w14:textId="77777777" w:rsidR="00376C31" w:rsidRPr="00376C31" w:rsidRDefault="00376C31" w:rsidP="00376C31">
      <w:pPr>
        <w:spacing w:after="600" w:line="560" w:lineRule="atLeast"/>
        <w:contextualSpacing/>
        <w:jc w:val="both"/>
        <w:rPr>
          <w:rFonts w:ascii="Arial" w:eastAsia="Times New Roman" w:hAnsi="Arial" w:cs="Times New Roman"/>
          <w:b/>
          <w:color w:val="0081C6"/>
          <w:kern w:val="28"/>
          <w:sz w:val="44"/>
          <w:szCs w:val="44"/>
          <w:lang w:val="en-GB"/>
          <w14:ligatures w14:val="none"/>
        </w:rPr>
      </w:pPr>
    </w:p>
    <w:p w14:paraId="0933AC10" w14:textId="77777777" w:rsidR="00376C31" w:rsidRPr="00376C31" w:rsidRDefault="00376C31" w:rsidP="00376C31">
      <w:pPr>
        <w:spacing w:after="600" w:line="560" w:lineRule="atLeast"/>
        <w:contextualSpacing/>
        <w:jc w:val="both"/>
        <w:rPr>
          <w:rFonts w:ascii="Arial" w:eastAsia="Times New Roman" w:hAnsi="Arial" w:cs="Times New Roman"/>
          <w:b/>
          <w:color w:val="0081C6"/>
          <w:kern w:val="28"/>
          <w:sz w:val="44"/>
          <w:szCs w:val="44"/>
          <w:lang w:val="en-GB"/>
          <w14:ligatures w14:val="none"/>
        </w:rPr>
      </w:pPr>
    </w:p>
    <w:p w14:paraId="1E5C851B" w14:textId="77777777" w:rsidR="00376C31" w:rsidRPr="00376C31" w:rsidRDefault="00376C31" w:rsidP="00376C31">
      <w:pPr>
        <w:spacing w:after="600" w:line="560" w:lineRule="atLeast"/>
        <w:contextualSpacing/>
        <w:jc w:val="both"/>
        <w:rPr>
          <w:rFonts w:ascii="Arial" w:eastAsia="Times New Roman" w:hAnsi="Arial" w:cs="Times New Roman"/>
          <w:b/>
          <w:color w:val="0081C6"/>
          <w:kern w:val="28"/>
          <w:sz w:val="44"/>
          <w:szCs w:val="44"/>
          <w:lang w:val="en-GB"/>
          <w14:ligatures w14:val="none"/>
        </w:rPr>
      </w:pPr>
    </w:p>
    <w:p w14:paraId="4F8A0D97" w14:textId="77777777" w:rsidR="00376C31" w:rsidRPr="00376C31" w:rsidRDefault="00376C31" w:rsidP="00376C31">
      <w:pPr>
        <w:spacing w:after="60" w:line="260" w:lineRule="atLeast"/>
        <w:jc w:val="center"/>
        <w:rPr>
          <w:rFonts w:ascii="Arial" w:eastAsia="Times New Roman" w:hAnsi="Arial" w:cs="Times New Roman"/>
          <w:b/>
          <w:color w:val="0081C6"/>
          <w:kern w:val="28"/>
          <w:sz w:val="32"/>
          <w:szCs w:val="32"/>
          <w14:ligatures w14:val="none"/>
        </w:rPr>
      </w:pPr>
    </w:p>
    <w:p w14:paraId="7E384A3F" w14:textId="50EA2DF6" w:rsidR="00376C31" w:rsidRPr="007B6504" w:rsidRDefault="00376C31" w:rsidP="0AD88B3E">
      <w:pPr>
        <w:spacing w:after="60" w:line="260" w:lineRule="atLeast"/>
        <w:jc w:val="center"/>
        <w:rPr>
          <w:rFonts w:ascii="Arial" w:eastAsia="Times New Roman" w:hAnsi="Arial" w:cs="Times New Roman"/>
          <w:b/>
          <w:color w:val="0081C6"/>
          <w:kern w:val="28"/>
          <w:sz w:val="32"/>
          <w:szCs w:val="32"/>
          <w:lang w:val="en-GB"/>
          <w14:ligatures w14:val="none"/>
        </w:rPr>
      </w:pPr>
      <w:r w:rsidRPr="0AD88B3E">
        <w:rPr>
          <w:rFonts w:ascii="Arial" w:eastAsia="Times New Roman" w:hAnsi="Arial" w:cs="Times New Roman"/>
          <w:b/>
          <w:bCs/>
          <w:color w:val="0081C6"/>
          <w:kern w:val="28"/>
          <w:sz w:val="32"/>
          <w:szCs w:val="32"/>
          <w14:ligatures w14:val="none"/>
        </w:rPr>
        <w:t xml:space="preserve"> </w:t>
      </w:r>
      <w:r w:rsidR="003316E7">
        <w:rPr>
          <w:rFonts w:ascii="Arial" w:eastAsia="Times New Roman" w:hAnsi="Arial" w:cs="Times New Roman"/>
          <w:b/>
          <w:bCs/>
          <w:color w:val="0081C6"/>
          <w:kern w:val="28"/>
          <w:sz w:val="32"/>
          <w:szCs w:val="32"/>
          <w14:ligatures w14:val="none"/>
        </w:rPr>
        <w:t>UAB Kaunas</w:t>
      </w:r>
      <w:r w:rsidR="00102180" w:rsidRPr="00376C31">
        <w:rPr>
          <w:rFonts w:ascii="Arial" w:eastAsia="Times New Roman" w:hAnsi="Arial" w:cs="Times New Roman"/>
          <w:b/>
          <w:bCs/>
          <w:color w:val="0081C6"/>
          <w:kern w:val="28"/>
          <w:sz w:val="32"/>
          <w:szCs w:val="32"/>
          <w14:ligatures w14:val="none"/>
        </w:rPr>
        <w:t xml:space="preserve"> </w:t>
      </w:r>
      <w:r w:rsidRPr="00376C31">
        <w:rPr>
          <w:rFonts w:ascii="Arial" w:eastAsia="Times New Roman" w:hAnsi="Arial" w:cs="Times New Roman"/>
          <w:b/>
          <w:bCs/>
          <w:color w:val="0081C6"/>
          <w:kern w:val="28"/>
          <w:sz w:val="32"/>
          <w:szCs w:val="32"/>
          <w14:ligatures w14:val="none"/>
        </w:rPr>
        <w:t xml:space="preserve">BESS </w:t>
      </w:r>
      <w:r w:rsidR="002D4861">
        <w:rPr>
          <w:rFonts w:ascii="Arial" w:eastAsia="Times New Roman" w:hAnsi="Arial" w:cs="Times New Roman"/>
          <w:b/>
          <w:bCs/>
          <w:color w:val="0081C6"/>
          <w:kern w:val="28"/>
          <w:sz w:val="32"/>
          <w:szCs w:val="32"/>
          <w14:ligatures w14:val="none"/>
        </w:rPr>
        <w:t>Standa</w:t>
      </w:r>
      <w:r w:rsidR="00243956">
        <w:rPr>
          <w:rFonts w:ascii="Arial" w:eastAsia="Times New Roman" w:hAnsi="Arial" w:cs="Times New Roman"/>
          <w:b/>
          <w:bCs/>
          <w:color w:val="0081C6"/>
          <w:kern w:val="28"/>
          <w:sz w:val="32"/>
          <w:szCs w:val="32"/>
          <w14:ligatures w14:val="none"/>
        </w:rPr>
        <w:t>l</w:t>
      </w:r>
      <w:r w:rsidR="002D4861">
        <w:rPr>
          <w:rFonts w:ascii="Arial" w:eastAsia="Times New Roman" w:hAnsi="Arial" w:cs="Times New Roman"/>
          <w:b/>
          <w:bCs/>
          <w:color w:val="0081C6"/>
          <w:kern w:val="28"/>
          <w:sz w:val="32"/>
          <w:szCs w:val="32"/>
          <w14:ligatures w14:val="none"/>
        </w:rPr>
        <w:t>one</w:t>
      </w:r>
      <w:r w:rsidR="002D4861" w:rsidRPr="00376C31">
        <w:rPr>
          <w:rFonts w:ascii="Arial" w:eastAsia="Times New Roman" w:hAnsi="Arial" w:cs="Times New Roman"/>
          <w:b/>
          <w:bCs/>
          <w:color w:val="0081C6"/>
          <w:kern w:val="28"/>
          <w:sz w:val="32"/>
          <w:szCs w:val="32"/>
          <w14:ligatures w14:val="none"/>
        </w:rPr>
        <w:t xml:space="preserve"> </w:t>
      </w:r>
      <w:r w:rsidR="00ED384E" w:rsidDel="00243956">
        <w:rPr>
          <w:rFonts w:ascii="Arial" w:eastAsia="Times New Roman" w:hAnsi="Arial" w:cs="Times New Roman"/>
          <w:b/>
          <w:bCs/>
          <w:color w:val="0081C6"/>
          <w:kern w:val="28"/>
          <w:sz w:val="32"/>
          <w:szCs w:val="32"/>
          <w14:ligatures w14:val="none"/>
        </w:rPr>
        <w:t>5</w:t>
      </w:r>
      <w:r w:rsidR="002D4861" w:rsidDel="00243956">
        <w:rPr>
          <w:rFonts w:ascii="Arial" w:eastAsia="Times New Roman" w:hAnsi="Arial" w:cs="Times New Roman"/>
          <w:b/>
          <w:bCs/>
          <w:color w:val="0081C6"/>
          <w:kern w:val="28"/>
          <w:sz w:val="32"/>
          <w:szCs w:val="32"/>
          <w14:ligatures w14:val="none"/>
        </w:rPr>
        <w:t>0</w:t>
      </w:r>
      <w:r w:rsidR="519FBD5F" w:rsidRPr="00376C31">
        <w:rPr>
          <w:rFonts w:ascii="Arial" w:eastAsia="Times New Roman" w:hAnsi="Arial" w:cs="Times New Roman"/>
          <w:b/>
          <w:bCs/>
          <w:color w:val="0081C6"/>
          <w:kern w:val="28"/>
          <w:sz w:val="32"/>
          <w:szCs w:val="32"/>
          <w14:ligatures w14:val="none"/>
        </w:rPr>
        <w:t xml:space="preserve"> </w:t>
      </w:r>
      <w:r w:rsidRPr="00376C31">
        <w:rPr>
          <w:rFonts w:ascii="Arial" w:eastAsia="Times New Roman" w:hAnsi="Arial" w:cs="Times New Roman"/>
          <w:b/>
          <w:bCs/>
          <w:color w:val="0081C6"/>
          <w:kern w:val="28"/>
          <w:sz w:val="32"/>
          <w:szCs w:val="32"/>
          <w14:ligatures w14:val="none"/>
        </w:rPr>
        <w:t xml:space="preserve">MW </w:t>
      </w:r>
      <w:proofErr w:type="gramStart"/>
      <w:r w:rsidR="00A1239B">
        <w:rPr>
          <w:rFonts w:ascii="Arial" w:eastAsia="Times New Roman" w:hAnsi="Arial" w:cs="Times New Roman"/>
          <w:b/>
          <w:bCs/>
          <w:color w:val="0081C6"/>
          <w:kern w:val="28"/>
          <w:sz w:val="32"/>
          <w:szCs w:val="32"/>
          <w14:ligatures w14:val="none"/>
        </w:rPr>
        <w:t>2 hour</w:t>
      </w:r>
      <w:proofErr w:type="gramEnd"/>
      <w:r w:rsidR="00A1239B">
        <w:rPr>
          <w:rFonts w:ascii="Arial" w:eastAsia="Times New Roman" w:hAnsi="Arial" w:cs="Times New Roman"/>
          <w:b/>
          <w:bCs/>
          <w:color w:val="0081C6"/>
          <w:kern w:val="28"/>
          <w:sz w:val="32"/>
          <w:szCs w:val="32"/>
          <w14:ligatures w14:val="none"/>
        </w:rPr>
        <w:t xml:space="preserve"> duration</w:t>
      </w:r>
    </w:p>
    <w:p w14:paraId="01A6C4FB" w14:textId="1066BF15" w:rsidR="00376C31" w:rsidRPr="007B6504" w:rsidRDefault="003C6F19" w:rsidP="00376C31">
      <w:pPr>
        <w:spacing w:after="600" w:line="560" w:lineRule="atLeast"/>
        <w:ind w:left="360"/>
        <w:contextualSpacing/>
        <w:jc w:val="center"/>
        <w:rPr>
          <w:rFonts w:ascii="Arial" w:eastAsia="Times New Roman" w:hAnsi="Arial" w:cs="Times New Roman"/>
          <w:b/>
          <w:color w:val="0081C6"/>
          <w:kern w:val="28"/>
          <w:sz w:val="32"/>
          <w:szCs w:val="32"/>
          <w:lang w:val="en-GB"/>
          <w14:ligatures w14:val="none"/>
        </w:rPr>
      </w:pPr>
      <w:r w:rsidRPr="007B6504">
        <w:rPr>
          <w:rFonts w:ascii="Arial" w:eastAsia="Times New Roman" w:hAnsi="Arial" w:cs="Times New Roman"/>
          <w:b/>
          <w:color w:val="0081C6"/>
          <w:kern w:val="28"/>
          <w:sz w:val="32"/>
          <w:szCs w:val="32"/>
          <w:lang w:val="en-GB"/>
          <w14:ligatures w14:val="none"/>
        </w:rPr>
        <w:t xml:space="preserve">BESS EQUIPMENT SUPPLY, TESTING AND </w:t>
      </w:r>
      <w:r w:rsidR="00376C31" w:rsidRPr="007B6504">
        <w:rPr>
          <w:rFonts w:ascii="Arial" w:eastAsia="Times New Roman" w:hAnsi="Arial" w:cs="Times New Roman"/>
          <w:b/>
          <w:color w:val="0081C6"/>
          <w:kern w:val="28"/>
          <w:sz w:val="32"/>
          <w:szCs w:val="32"/>
          <w:lang w:val="en-GB"/>
          <w14:ligatures w14:val="none"/>
        </w:rPr>
        <w:t>COMMISSIONING</w:t>
      </w:r>
    </w:p>
    <w:p w14:paraId="75DF83D5" w14:textId="77777777" w:rsidR="00376C31" w:rsidRPr="007B6504" w:rsidRDefault="00376C31" w:rsidP="00376C31">
      <w:pPr>
        <w:spacing w:after="60" w:line="260" w:lineRule="atLeast"/>
        <w:rPr>
          <w:rFonts w:ascii="Arial" w:eastAsia="Calibri" w:hAnsi="Arial" w:cs="Times New Roman"/>
          <w:kern w:val="0"/>
          <w:sz w:val="20"/>
          <w:lang w:val="en-GB"/>
          <w14:ligatures w14:val="none"/>
        </w:rPr>
      </w:pPr>
    </w:p>
    <w:p w14:paraId="47A3F3BF" w14:textId="77777777" w:rsidR="00491A3F" w:rsidRPr="007B6504" w:rsidRDefault="00491A3F" w:rsidP="00376C31">
      <w:pPr>
        <w:spacing w:after="60" w:line="260" w:lineRule="atLeast"/>
        <w:rPr>
          <w:rFonts w:ascii="Arial" w:eastAsia="Calibri" w:hAnsi="Arial" w:cs="Times New Roman"/>
          <w:kern w:val="0"/>
          <w:sz w:val="20"/>
          <w:lang w:val="en-GB"/>
          <w14:ligatures w14:val="none"/>
        </w:rPr>
      </w:pPr>
    </w:p>
    <w:p w14:paraId="39C71106" w14:textId="77777777" w:rsidR="00491A3F" w:rsidRPr="007B6504" w:rsidRDefault="00491A3F" w:rsidP="00376C31">
      <w:pPr>
        <w:spacing w:after="60" w:line="260" w:lineRule="atLeast"/>
        <w:rPr>
          <w:rFonts w:ascii="Arial" w:eastAsia="Calibri" w:hAnsi="Arial" w:cs="Times New Roman"/>
          <w:kern w:val="0"/>
          <w:sz w:val="20"/>
          <w:lang w:val="en-GB"/>
          <w14:ligatures w14:val="none"/>
        </w:rPr>
      </w:pPr>
    </w:p>
    <w:p w14:paraId="1AD17A7E" w14:textId="77777777" w:rsidR="00376C31" w:rsidRPr="00376C31" w:rsidRDefault="00376C31" w:rsidP="00376C31">
      <w:pPr>
        <w:spacing w:after="60" w:line="260" w:lineRule="atLeast"/>
        <w:jc w:val="both"/>
        <w:rPr>
          <w:rFonts w:ascii="Arial" w:eastAsia="Calibri" w:hAnsi="Arial" w:cs="Times New Roman"/>
          <w:b/>
          <w:color w:val="5C5B5A"/>
          <w:kern w:val="0"/>
          <w:sz w:val="20"/>
          <w:lang w:val="de-DE"/>
          <w14:ligatures w14:val="none"/>
        </w:rPr>
      </w:pPr>
      <w:r w:rsidRPr="00376C31">
        <w:rPr>
          <w:rFonts w:ascii="Arial" w:eastAsia="Calibri" w:hAnsi="Arial" w:cs="Times New Roman"/>
          <w:b/>
          <w:color w:val="5C5B5A"/>
          <w:kern w:val="0"/>
          <w:sz w:val="20"/>
          <w:lang w:val="de-DE"/>
          <w14:ligatures w14:val="none"/>
        </w:rPr>
        <w:t>Proof of change</w:t>
      </w:r>
    </w:p>
    <w:p w14:paraId="7154F961" w14:textId="77777777" w:rsidR="00376C31" w:rsidRPr="00376C31" w:rsidRDefault="00376C31" w:rsidP="00376C31">
      <w:pPr>
        <w:spacing w:after="60" w:line="260" w:lineRule="atLeast"/>
        <w:jc w:val="both"/>
        <w:rPr>
          <w:rFonts w:ascii="Arial" w:eastAsia="Calibri" w:hAnsi="Arial" w:cs="Times New Roman"/>
          <w:kern w:val="0"/>
          <w:sz w:val="20"/>
          <w:lang w:val="de-DE"/>
          <w14:ligatures w14:val="none"/>
        </w:rPr>
      </w:pPr>
    </w:p>
    <w:tbl>
      <w:tblPr>
        <w:tblW w:w="9092" w:type="dxa"/>
        <w:tblLayout w:type="fixed"/>
        <w:tblCellMar>
          <w:top w:w="57" w:type="dxa"/>
          <w:left w:w="0" w:type="dxa"/>
          <w:bottom w:w="57" w:type="dxa"/>
          <w:right w:w="0" w:type="dxa"/>
        </w:tblCellMar>
        <w:tblLook w:val="04A0" w:firstRow="1" w:lastRow="0" w:firstColumn="1" w:lastColumn="0" w:noHBand="0" w:noVBand="1"/>
      </w:tblPr>
      <w:tblGrid>
        <w:gridCol w:w="1843"/>
        <w:gridCol w:w="1418"/>
        <w:gridCol w:w="4130"/>
        <w:gridCol w:w="1701"/>
      </w:tblGrid>
      <w:tr w:rsidR="00376C31" w:rsidRPr="00376C31" w14:paraId="00F44A9E" w14:textId="77777777" w:rsidTr="02BC5E91">
        <w:tc>
          <w:tcPr>
            <w:tcW w:w="1843" w:type="dxa"/>
            <w:tcBorders>
              <w:bottom w:val="single" w:sz="8" w:space="0" w:color="0081C6"/>
            </w:tcBorders>
            <w:shd w:val="clear" w:color="auto" w:fill="auto"/>
          </w:tcPr>
          <w:p w14:paraId="63EFF4A0" w14:textId="77777777" w:rsidR="00376C31" w:rsidRPr="00376C31" w:rsidRDefault="00376C31" w:rsidP="00376C31">
            <w:pPr>
              <w:spacing w:after="60" w:line="260" w:lineRule="atLeast"/>
              <w:ind w:left="113" w:right="113"/>
              <w:jc w:val="both"/>
              <w:rPr>
                <w:rFonts w:ascii="Arial" w:eastAsia="Calibri" w:hAnsi="Arial" w:cs="Times New Roman"/>
                <w:b/>
                <w:color w:val="000000"/>
                <w:kern w:val="0"/>
                <w:sz w:val="20"/>
                <w:lang w:val="de-DE"/>
                <w14:ligatures w14:val="none"/>
              </w:rPr>
            </w:pPr>
            <w:r w:rsidRPr="00376C31">
              <w:rPr>
                <w:rFonts w:ascii="Arial" w:eastAsia="Calibri" w:hAnsi="Arial" w:cs="Times New Roman"/>
                <w:b/>
                <w:color w:val="000000"/>
                <w:kern w:val="0"/>
                <w:sz w:val="20"/>
                <w:lang w:val="de-DE"/>
                <w14:ligatures w14:val="none"/>
              </w:rPr>
              <w:t>Version No.</w:t>
            </w:r>
          </w:p>
        </w:tc>
        <w:tc>
          <w:tcPr>
            <w:tcW w:w="1418" w:type="dxa"/>
            <w:tcBorders>
              <w:bottom w:val="single" w:sz="8" w:space="0" w:color="0081C6"/>
            </w:tcBorders>
            <w:shd w:val="clear" w:color="auto" w:fill="auto"/>
          </w:tcPr>
          <w:p w14:paraId="078877AB" w14:textId="77777777" w:rsidR="00376C31" w:rsidRPr="00376C31" w:rsidRDefault="00376C31" w:rsidP="00376C31">
            <w:pPr>
              <w:spacing w:after="60" w:line="260" w:lineRule="atLeast"/>
              <w:ind w:left="113" w:right="113"/>
              <w:jc w:val="both"/>
              <w:rPr>
                <w:rFonts w:ascii="Arial" w:eastAsia="Calibri" w:hAnsi="Arial" w:cs="Times New Roman"/>
                <w:b/>
                <w:color w:val="000000"/>
                <w:kern w:val="0"/>
                <w:sz w:val="20"/>
                <w:lang w:val="de-DE"/>
                <w14:ligatures w14:val="none"/>
              </w:rPr>
            </w:pPr>
            <w:r w:rsidRPr="00376C31">
              <w:rPr>
                <w:rFonts w:ascii="Arial" w:eastAsia="Calibri" w:hAnsi="Arial" w:cs="Times New Roman"/>
                <w:b/>
                <w:color w:val="000000"/>
                <w:kern w:val="0"/>
                <w:sz w:val="20"/>
                <w:lang w:val="de-DE"/>
                <w14:ligatures w14:val="none"/>
              </w:rPr>
              <w:t>Date</w:t>
            </w:r>
          </w:p>
        </w:tc>
        <w:tc>
          <w:tcPr>
            <w:tcW w:w="4130" w:type="dxa"/>
            <w:tcBorders>
              <w:bottom w:val="single" w:sz="8" w:space="0" w:color="0081C6"/>
            </w:tcBorders>
            <w:shd w:val="clear" w:color="auto" w:fill="auto"/>
          </w:tcPr>
          <w:p w14:paraId="196390EC" w14:textId="77777777" w:rsidR="00376C31" w:rsidRPr="00376C31" w:rsidRDefault="00376C31" w:rsidP="00376C31">
            <w:pPr>
              <w:spacing w:after="60" w:line="260" w:lineRule="atLeast"/>
              <w:ind w:left="113" w:right="113"/>
              <w:jc w:val="both"/>
              <w:rPr>
                <w:rFonts w:ascii="Arial" w:eastAsia="Calibri" w:hAnsi="Arial" w:cs="Times New Roman"/>
                <w:b/>
                <w:color w:val="000000"/>
                <w:kern w:val="0"/>
                <w:sz w:val="20"/>
                <w:lang w:val="en-GB"/>
                <w14:ligatures w14:val="none"/>
              </w:rPr>
            </w:pPr>
            <w:r w:rsidRPr="00376C31">
              <w:rPr>
                <w:rFonts w:ascii="Arial" w:eastAsia="Calibri" w:hAnsi="Arial" w:cs="Times New Roman"/>
                <w:b/>
                <w:color w:val="000000"/>
                <w:kern w:val="0"/>
                <w:sz w:val="20"/>
                <w:lang w:val="en-GB"/>
                <w14:ligatures w14:val="none"/>
              </w:rPr>
              <w:t>Reason and scope of the change</w:t>
            </w:r>
          </w:p>
        </w:tc>
        <w:tc>
          <w:tcPr>
            <w:tcW w:w="1701" w:type="dxa"/>
            <w:tcBorders>
              <w:bottom w:val="single" w:sz="8" w:space="0" w:color="0081C6"/>
            </w:tcBorders>
            <w:shd w:val="clear" w:color="auto" w:fill="auto"/>
          </w:tcPr>
          <w:p w14:paraId="1BBB713F" w14:textId="77777777" w:rsidR="00376C31" w:rsidRPr="00376C31" w:rsidRDefault="00376C31" w:rsidP="00376C31">
            <w:pPr>
              <w:spacing w:after="60" w:line="260" w:lineRule="atLeast"/>
              <w:ind w:left="113" w:right="113"/>
              <w:jc w:val="both"/>
              <w:rPr>
                <w:rFonts w:ascii="Arial" w:eastAsia="Calibri" w:hAnsi="Arial" w:cs="Times New Roman"/>
                <w:b/>
                <w:color w:val="000000"/>
                <w:kern w:val="0"/>
                <w:sz w:val="20"/>
                <w:lang w:val="de-DE"/>
                <w14:ligatures w14:val="none"/>
              </w:rPr>
            </w:pPr>
            <w:r w:rsidRPr="00376C31">
              <w:rPr>
                <w:rFonts w:ascii="Arial" w:eastAsia="Calibri" w:hAnsi="Arial" w:cs="Times New Roman"/>
                <w:b/>
                <w:color w:val="000000"/>
                <w:kern w:val="0"/>
                <w:sz w:val="20"/>
                <w:lang w:val="de-DE"/>
                <w14:ligatures w14:val="none"/>
              </w:rPr>
              <w:t>Author(s)</w:t>
            </w:r>
          </w:p>
        </w:tc>
      </w:tr>
      <w:tr w:rsidR="00376C31" w:rsidRPr="00376C31" w14:paraId="749750D7" w14:textId="77777777" w:rsidTr="02BC5E91">
        <w:tc>
          <w:tcPr>
            <w:tcW w:w="1843" w:type="dxa"/>
            <w:tcBorders>
              <w:top w:val="single" w:sz="8" w:space="0" w:color="0081C6"/>
              <w:bottom w:val="single" w:sz="8" w:space="0" w:color="0081C6"/>
            </w:tcBorders>
            <w:shd w:val="clear" w:color="auto" w:fill="auto"/>
          </w:tcPr>
          <w:p w14:paraId="36DF42E0" w14:textId="77777777" w:rsidR="00376C31" w:rsidRPr="00376C31" w:rsidRDefault="00376C31" w:rsidP="00376C31">
            <w:pPr>
              <w:spacing w:after="60" w:line="260" w:lineRule="atLeast"/>
              <w:ind w:left="113" w:right="113"/>
              <w:jc w:val="both"/>
              <w:rPr>
                <w:rFonts w:ascii="Arial" w:eastAsia="Calibri" w:hAnsi="Arial" w:cs="Times New Roman"/>
                <w:kern w:val="0"/>
                <w:sz w:val="20"/>
                <w:lang w:val="de-DE"/>
                <w14:ligatures w14:val="none"/>
              </w:rPr>
            </w:pPr>
            <w:r w:rsidRPr="00376C31">
              <w:rPr>
                <w:rFonts w:ascii="Arial" w:eastAsia="Calibri" w:hAnsi="Arial" w:cs="Times New Roman"/>
                <w:kern w:val="0"/>
                <w:sz w:val="20"/>
                <w:lang w:val="de-DE"/>
                <w14:ligatures w14:val="none"/>
              </w:rPr>
              <w:t>00</w:t>
            </w:r>
          </w:p>
        </w:tc>
        <w:tc>
          <w:tcPr>
            <w:tcW w:w="1418" w:type="dxa"/>
            <w:tcBorders>
              <w:top w:val="single" w:sz="8" w:space="0" w:color="0081C6"/>
              <w:bottom w:val="single" w:sz="8" w:space="0" w:color="0081C6"/>
            </w:tcBorders>
            <w:shd w:val="clear" w:color="auto" w:fill="auto"/>
          </w:tcPr>
          <w:p w14:paraId="2E155D0D" w14:textId="2C16C019" w:rsidR="00376C31" w:rsidRPr="00376C31" w:rsidRDefault="00DD79ED" w:rsidP="00376C31">
            <w:pPr>
              <w:spacing w:after="60" w:line="260" w:lineRule="atLeast"/>
              <w:ind w:left="113" w:right="113"/>
              <w:jc w:val="both"/>
              <w:rPr>
                <w:rFonts w:ascii="Arial" w:eastAsia="Calibri" w:hAnsi="Arial" w:cs="Times New Roman"/>
                <w:kern w:val="0"/>
                <w:sz w:val="20"/>
                <w:lang w:val="de-DE"/>
                <w14:ligatures w14:val="none"/>
              </w:rPr>
            </w:pPr>
            <w:r>
              <w:rPr>
                <w:rFonts w:ascii="Arial" w:eastAsia="Calibri" w:hAnsi="Arial" w:cs="Times New Roman"/>
                <w:kern w:val="0"/>
                <w:sz w:val="20"/>
                <w:lang w:val="de-DE"/>
                <w14:ligatures w14:val="none"/>
              </w:rPr>
              <w:t>2</w:t>
            </w:r>
            <w:r w:rsidR="00EA437F">
              <w:rPr>
                <w:rFonts w:ascii="Arial" w:eastAsia="Calibri" w:hAnsi="Arial" w:cs="Times New Roman"/>
                <w:kern w:val="0"/>
                <w:sz w:val="20"/>
                <w:lang w:val="de-DE"/>
                <w14:ligatures w14:val="none"/>
              </w:rPr>
              <w:t>3</w:t>
            </w:r>
            <w:r w:rsidR="00376C31" w:rsidRPr="00376C31">
              <w:rPr>
                <w:rFonts w:ascii="Arial" w:eastAsia="Calibri" w:hAnsi="Arial" w:cs="Times New Roman"/>
                <w:kern w:val="0"/>
                <w:sz w:val="20"/>
                <w:lang w:val="de-DE"/>
                <w14:ligatures w14:val="none"/>
              </w:rPr>
              <w:t>/</w:t>
            </w:r>
            <w:r w:rsidRPr="00376C31">
              <w:rPr>
                <w:rFonts w:ascii="Arial" w:eastAsia="Calibri" w:hAnsi="Arial" w:cs="Times New Roman"/>
                <w:kern w:val="0"/>
                <w:sz w:val="20"/>
                <w:lang w:val="de-DE"/>
                <w14:ligatures w14:val="none"/>
              </w:rPr>
              <w:t>0</w:t>
            </w:r>
            <w:r w:rsidR="00EA437F">
              <w:rPr>
                <w:rFonts w:ascii="Arial" w:eastAsia="Calibri" w:hAnsi="Arial" w:cs="Times New Roman"/>
                <w:kern w:val="0"/>
                <w:sz w:val="20"/>
                <w:lang w:val="de-DE"/>
                <w14:ligatures w14:val="none"/>
              </w:rPr>
              <w:t>4</w:t>
            </w:r>
            <w:r w:rsidR="00376C31" w:rsidRPr="00376C31">
              <w:rPr>
                <w:rFonts w:ascii="Arial" w:eastAsia="Calibri" w:hAnsi="Arial" w:cs="Times New Roman"/>
                <w:kern w:val="0"/>
                <w:sz w:val="20"/>
                <w:lang w:val="de-DE"/>
                <w14:ligatures w14:val="none"/>
              </w:rPr>
              <w:t>/2025</w:t>
            </w:r>
          </w:p>
        </w:tc>
        <w:tc>
          <w:tcPr>
            <w:tcW w:w="4130" w:type="dxa"/>
            <w:tcBorders>
              <w:top w:val="single" w:sz="8" w:space="0" w:color="0081C6"/>
              <w:bottom w:val="single" w:sz="8" w:space="0" w:color="0081C6"/>
            </w:tcBorders>
            <w:shd w:val="clear" w:color="auto" w:fill="auto"/>
          </w:tcPr>
          <w:p w14:paraId="049F7A38" w14:textId="67DBC2EA" w:rsidR="00376C31" w:rsidRPr="00376C31" w:rsidRDefault="00D30C9F" w:rsidP="00376C31">
            <w:pPr>
              <w:spacing w:after="60" w:line="260" w:lineRule="atLeast"/>
              <w:ind w:left="113" w:right="113"/>
              <w:jc w:val="both"/>
              <w:rPr>
                <w:rFonts w:ascii="Arial" w:eastAsia="Calibri" w:hAnsi="Arial" w:cs="Times New Roman"/>
                <w:kern w:val="0"/>
                <w:sz w:val="20"/>
                <w:lang w:val="de-DE"/>
                <w14:ligatures w14:val="none"/>
              </w:rPr>
            </w:pPr>
            <w:r>
              <w:rPr>
                <w:rFonts w:ascii="Arial" w:eastAsia="Calibri" w:hAnsi="Arial" w:cs="Times New Roman"/>
                <w:kern w:val="0"/>
                <w:sz w:val="20"/>
                <w:lang w:val="de-DE"/>
                <w14:ligatures w14:val="none"/>
              </w:rPr>
              <w:t>Draft</w:t>
            </w:r>
          </w:p>
        </w:tc>
        <w:tc>
          <w:tcPr>
            <w:tcW w:w="1701" w:type="dxa"/>
            <w:tcBorders>
              <w:top w:val="single" w:sz="8" w:space="0" w:color="0081C6"/>
              <w:bottom w:val="single" w:sz="8" w:space="0" w:color="0081C6"/>
            </w:tcBorders>
            <w:shd w:val="clear" w:color="auto" w:fill="auto"/>
          </w:tcPr>
          <w:p w14:paraId="7520562F" w14:textId="7FD44FED" w:rsidR="00376C31" w:rsidRPr="00376C31" w:rsidRDefault="00EA437F" w:rsidP="00376C31">
            <w:pPr>
              <w:spacing w:after="60" w:line="260" w:lineRule="atLeast"/>
              <w:ind w:left="113" w:right="113"/>
              <w:jc w:val="both"/>
              <w:rPr>
                <w:rFonts w:ascii="Arial" w:eastAsia="Calibri" w:hAnsi="Arial" w:cs="Times New Roman"/>
                <w:kern w:val="0"/>
                <w:sz w:val="20"/>
                <w:lang w:val="de-DE"/>
                <w14:ligatures w14:val="none"/>
              </w:rPr>
            </w:pPr>
            <w:r>
              <w:rPr>
                <w:rFonts w:ascii="Arial" w:eastAsia="Calibri" w:hAnsi="Arial" w:cs="Times New Roman"/>
                <w:kern w:val="0"/>
                <w:sz w:val="20"/>
                <w:lang w:val="de-DE"/>
                <w14:ligatures w14:val="none"/>
              </w:rPr>
              <w:t>NKO</w:t>
            </w:r>
          </w:p>
        </w:tc>
      </w:tr>
      <w:tr w:rsidR="00EA437F" w:rsidRPr="00376C31" w14:paraId="575AA275" w14:textId="77777777" w:rsidTr="00EA437F">
        <w:tc>
          <w:tcPr>
            <w:tcW w:w="1843" w:type="dxa"/>
            <w:tcBorders>
              <w:top w:val="single" w:sz="8" w:space="0" w:color="0081C6"/>
              <w:bottom w:val="single" w:sz="8" w:space="0" w:color="0081C6"/>
            </w:tcBorders>
            <w:shd w:val="clear" w:color="auto" w:fill="auto"/>
          </w:tcPr>
          <w:p w14:paraId="4BCBB58E" w14:textId="299C738A" w:rsidR="00EA437F" w:rsidRPr="00376C31" w:rsidRDefault="00EA437F" w:rsidP="00376C31">
            <w:pPr>
              <w:spacing w:after="60" w:line="260" w:lineRule="atLeast"/>
              <w:ind w:left="113" w:right="113"/>
              <w:jc w:val="both"/>
              <w:rPr>
                <w:rFonts w:ascii="Arial" w:eastAsia="Calibri" w:hAnsi="Arial" w:cs="Times New Roman"/>
                <w:kern w:val="0"/>
                <w:sz w:val="20"/>
                <w:lang w:val="de-DE"/>
                <w14:ligatures w14:val="none"/>
              </w:rPr>
            </w:pPr>
          </w:p>
        </w:tc>
        <w:tc>
          <w:tcPr>
            <w:tcW w:w="1418" w:type="dxa"/>
            <w:tcBorders>
              <w:top w:val="single" w:sz="8" w:space="0" w:color="0081C6"/>
              <w:bottom w:val="single" w:sz="8" w:space="0" w:color="0081C6"/>
            </w:tcBorders>
            <w:shd w:val="clear" w:color="auto" w:fill="auto"/>
          </w:tcPr>
          <w:p w14:paraId="6100E951" w14:textId="6D1E3AF6" w:rsidR="00EA437F" w:rsidRDefault="00EA437F" w:rsidP="00376C31">
            <w:pPr>
              <w:spacing w:after="60" w:line="260" w:lineRule="atLeast"/>
              <w:ind w:left="113" w:right="113"/>
              <w:jc w:val="both"/>
              <w:rPr>
                <w:rFonts w:ascii="Arial" w:eastAsia="Calibri" w:hAnsi="Arial" w:cs="Times New Roman"/>
                <w:kern w:val="0"/>
                <w:sz w:val="20"/>
                <w:lang w:val="de-DE"/>
                <w14:ligatures w14:val="none"/>
              </w:rPr>
            </w:pPr>
          </w:p>
        </w:tc>
        <w:tc>
          <w:tcPr>
            <w:tcW w:w="4130" w:type="dxa"/>
            <w:tcBorders>
              <w:top w:val="single" w:sz="8" w:space="0" w:color="0081C6"/>
              <w:bottom w:val="single" w:sz="8" w:space="0" w:color="0081C6"/>
            </w:tcBorders>
            <w:shd w:val="clear" w:color="auto" w:fill="auto"/>
          </w:tcPr>
          <w:p w14:paraId="7B03B55E" w14:textId="0D872B0F" w:rsidR="00EA437F" w:rsidRPr="00376C31" w:rsidRDefault="00EA437F" w:rsidP="00376C31">
            <w:pPr>
              <w:spacing w:after="60" w:line="260" w:lineRule="atLeast"/>
              <w:ind w:left="113" w:right="113"/>
              <w:jc w:val="both"/>
              <w:rPr>
                <w:rFonts w:ascii="Arial" w:eastAsia="Calibri" w:hAnsi="Arial" w:cs="Times New Roman"/>
                <w:kern w:val="0"/>
                <w:sz w:val="20"/>
                <w:lang w:val="de-DE"/>
                <w14:ligatures w14:val="none"/>
              </w:rPr>
            </w:pPr>
          </w:p>
        </w:tc>
        <w:tc>
          <w:tcPr>
            <w:tcW w:w="1701" w:type="dxa"/>
            <w:tcBorders>
              <w:top w:val="single" w:sz="8" w:space="0" w:color="0081C6"/>
              <w:bottom w:val="single" w:sz="8" w:space="0" w:color="0081C6"/>
            </w:tcBorders>
            <w:shd w:val="clear" w:color="auto" w:fill="auto"/>
          </w:tcPr>
          <w:p w14:paraId="5851DB65" w14:textId="235ED6A8" w:rsidR="00EA437F" w:rsidRPr="00376C31" w:rsidRDefault="00EA437F" w:rsidP="00ED384E">
            <w:pPr>
              <w:spacing w:after="60" w:line="260" w:lineRule="atLeast"/>
              <w:ind w:left="113" w:right="113"/>
              <w:jc w:val="both"/>
              <w:rPr>
                <w:rFonts w:ascii="Arial" w:eastAsia="Calibri" w:hAnsi="Arial" w:cs="Times New Roman"/>
                <w:kern w:val="0"/>
                <w:sz w:val="20"/>
                <w:szCs w:val="20"/>
                <w:lang w:val="de-DE"/>
                <w14:ligatures w14:val="none"/>
              </w:rPr>
            </w:pPr>
          </w:p>
        </w:tc>
      </w:tr>
      <w:tr w:rsidR="00EA437F" w:rsidRPr="00376C31" w14:paraId="1158FBD1" w14:textId="77777777" w:rsidTr="02BC5E91">
        <w:tc>
          <w:tcPr>
            <w:tcW w:w="1843" w:type="dxa"/>
            <w:tcBorders>
              <w:top w:val="single" w:sz="8" w:space="0" w:color="0081C6"/>
              <w:bottom w:val="single" w:sz="6" w:space="0" w:color="CFD0D2"/>
            </w:tcBorders>
            <w:shd w:val="clear" w:color="auto" w:fill="auto"/>
          </w:tcPr>
          <w:p w14:paraId="70CBE3A9" w14:textId="153A8328" w:rsidR="00EA437F" w:rsidRDefault="00EA437F" w:rsidP="00376C31">
            <w:pPr>
              <w:spacing w:after="60" w:line="260" w:lineRule="atLeast"/>
              <w:ind w:left="113" w:right="113"/>
              <w:jc w:val="both"/>
              <w:rPr>
                <w:rFonts w:ascii="Arial" w:eastAsia="Calibri" w:hAnsi="Arial" w:cs="Times New Roman"/>
                <w:kern w:val="0"/>
                <w:sz w:val="20"/>
                <w:lang w:val="de-DE"/>
                <w14:ligatures w14:val="none"/>
              </w:rPr>
            </w:pPr>
          </w:p>
        </w:tc>
        <w:tc>
          <w:tcPr>
            <w:tcW w:w="1418" w:type="dxa"/>
            <w:tcBorders>
              <w:top w:val="single" w:sz="8" w:space="0" w:color="0081C6"/>
              <w:bottom w:val="single" w:sz="6" w:space="0" w:color="CFD0D2"/>
            </w:tcBorders>
            <w:shd w:val="clear" w:color="auto" w:fill="auto"/>
          </w:tcPr>
          <w:p w14:paraId="58E9C5E0" w14:textId="2095285F" w:rsidR="00EA437F" w:rsidRDefault="00EA437F" w:rsidP="00376C31">
            <w:pPr>
              <w:spacing w:after="60" w:line="260" w:lineRule="atLeast"/>
              <w:ind w:left="113" w:right="113"/>
              <w:jc w:val="both"/>
              <w:rPr>
                <w:rFonts w:ascii="Arial" w:eastAsia="Calibri" w:hAnsi="Arial" w:cs="Times New Roman"/>
                <w:kern w:val="0"/>
                <w:sz w:val="20"/>
                <w:lang w:val="de-DE"/>
                <w14:ligatures w14:val="none"/>
              </w:rPr>
            </w:pPr>
          </w:p>
        </w:tc>
        <w:tc>
          <w:tcPr>
            <w:tcW w:w="4130" w:type="dxa"/>
            <w:tcBorders>
              <w:top w:val="single" w:sz="8" w:space="0" w:color="0081C6"/>
              <w:bottom w:val="single" w:sz="6" w:space="0" w:color="CFD0D2"/>
            </w:tcBorders>
            <w:shd w:val="clear" w:color="auto" w:fill="auto"/>
          </w:tcPr>
          <w:p w14:paraId="1B590967" w14:textId="3129830C" w:rsidR="00EA437F" w:rsidDel="00DD3057" w:rsidRDefault="00EA437F" w:rsidP="00376C31">
            <w:pPr>
              <w:spacing w:after="60" w:line="260" w:lineRule="atLeast"/>
              <w:ind w:left="113" w:right="113"/>
              <w:jc w:val="both"/>
              <w:rPr>
                <w:rFonts w:ascii="Arial" w:eastAsia="Calibri" w:hAnsi="Arial" w:cs="Times New Roman"/>
                <w:kern w:val="0"/>
                <w:sz w:val="20"/>
                <w:lang w:val="de-DE"/>
                <w14:ligatures w14:val="none"/>
              </w:rPr>
            </w:pPr>
          </w:p>
        </w:tc>
        <w:tc>
          <w:tcPr>
            <w:tcW w:w="1701" w:type="dxa"/>
            <w:tcBorders>
              <w:top w:val="single" w:sz="8" w:space="0" w:color="0081C6"/>
              <w:bottom w:val="single" w:sz="6" w:space="0" w:color="CFD0D2"/>
            </w:tcBorders>
            <w:shd w:val="clear" w:color="auto" w:fill="auto"/>
          </w:tcPr>
          <w:p w14:paraId="41CA84E4" w14:textId="743BB206" w:rsidR="00EA437F" w:rsidRPr="02BC5E91" w:rsidDel="00DD3057" w:rsidRDefault="00EA437F" w:rsidP="00ED384E">
            <w:pPr>
              <w:spacing w:after="60" w:line="260" w:lineRule="atLeast"/>
              <w:ind w:left="113" w:right="113"/>
              <w:jc w:val="both"/>
              <w:rPr>
                <w:rFonts w:ascii="Arial" w:eastAsia="Calibri" w:hAnsi="Arial" w:cs="Times New Roman"/>
                <w:kern w:val="0"/>
                <w:sz w:val="20"/>
                <w:szCs w:val="20"/>
                <w:lang w:val="de-DE"/>
                <w14:ligatures w14:val="none"/>
              </w:rPr>
            </w:pPr>
          </w:p>
        </w:tc>
      </w:tr>
    </w:tbl>
    <w:p w14:paraId="6C054D67" w14:textId="77777777" w:rsidR="00376C31" w:rsidRPr="00376C31" w:rsidRDefault="00376C31" w:rsidP="00376C31">
      <w:pPr>
        <w:spacing w:after="60" w:line="260" w:lineRule="atLeast"/>
        <w:jc w:val="both"/>
        <w:rPr>
          <w:rFonts w:ascii="Arial" w:eastAsia="Calibri" w:hAnsi="Arial" w:cs="Times New Roman"/>
          <w:kern w:val="0"/>
          <w:sz w:val="2"/>
          <w:szCs w:val="2"/>
          <w:lang w:val="de-DE"/>
          <w14:ligatures w14:val="none"/>
        </w:rPr>
      </w:pPr>
    </w:p>
    <w:p w14:paraId="227747A7" w14:textId="77777777" w:rsidR="00376C31" w:rsidRPr="00376C31" w:rsidRDefault="00376C31" w:rsidP="00376C31">
      <w:pPr>
        <w:jc w:val="both"/>
        <w:rPr>
          <w:rFonts w:ascii="Arial" w:eastAsia="Calibri" w:hAnsi="Arial" w:cs="Times New Roman"/>
          <w:kern w:val="0"/>
          <w:sz w:val="20"/>
          <w:lang w:val="de-DE"/>
          <w14:ligatures w14:val="none"/>
        </w:rPr>
      </w:pPr>
      <w:r w:rsidRPr="00376C31">
        <w:rPr>
          <w:rFonts w:ascii="Arial" w:eastAsia="Calibri" w:hAnsi="Arial" w:cs="Times New Roman"/>
          <w:kern w:val="0"/>
          <w:sz w:val="20"/>
          <w:lang w:val="de-DE"/>
          <w14:ligatures w14:val="none"/>
        </w:rPr>
        <w:br w:type="page"/>
      </w:r>
    </w:p>
    <w:p w14:paraId="4C3AD729" w14:textId="2F998B35" w:rsidR="008A3139" w:rsidRPr="008B6A6D" w:rsidRDefault="008A3139" w:rsidP="008B6A6D">
      <w:pPr>
        <w:pStyle w:val="ListParagraph"/>
        <w:keepNext/>
        <w:numPr>
          <w:ilvl w:val="0"/>
          <w:numId w:val="18"/>
        </w:numPr>
        <w:overflowPunct w:val="0"/>
        <w:spacing w:before="240" w:after="240" w:line="276" w:lineRule="auto"/>
        <w:jc w:val="both"/>
        <w:rPr>
          <w:rFonts w:ascii="Avenir Next LT Pro" w:eastAsia="Aptos" w:hAnsi="Avenir Next LT Pro" w:cs="Aptos"/>
          <w:b/>
          <w:bCs/>
          <w:color w:val="156082"/>
          <w:spacing w:val="-3"/>
          <w:kern w:val="0"/>
          <w:sz w:val="28"/>
          <w:szCs w:val="28"/>
          <w:lang w:eastAsia="zh-CN"/>
          <w14:ligatures w14:val="none"/>
        </w:rPr>
      </w:pPr>
      <w:r w:rsidRPr="008B6A6D">
        <w:rPr>
          <w:rFonts w:ascii="Avenir Next LT Pro" w:eastAsia="Aptos" w:hAnsi="Avenir Next LT Pro" w:cs="Aptos"/>
          <w:b/>
          <w:bCs/>
          <w:color w:val="156082"/>
          <w:spacing w:val="-3"/>
          <w:kern w:val="0"/>
          <w:sz w:val="28"/>
          <w:szCs w:val="28"/>
          <w:lang w:eastAsia="zh-CN"/>
          <w14:ligatures w14:val="none"/>
        </w:rPr>
        <w:lastRenderedPageBreak/>
        <w:t>Introduction &amp; Company Overview</w:t>
      </w:r>
      <w:bookmarkEnd w:id="0"/>
      <w:bookmarkEnd w:id="1"/>
    </w:p>
    <w:p w14:paraId="085D1EC2" w14:textId="77777777" w:rsidR="008A3139" w:rsidRPr="008A3139" w:rsidRDefault="008A3139" w:rsidP="008A3139">
      <w:pPr>
        <w:spacing w:after="60" w:line="260" w:lineRule="atLeast"/>
        <w:jc w:val="both"/>
        <w:rPr>
          <w:rFonts w:ascii="Arial" w:eastAsia="Calibri" w:hAnsi="Arial" w:cs="Times New Roman"/>
          <w:noProof/>
          <w:kern w:val="0"/>
          <w:sz w:val="20"/>
          <w:lang w:val="en-GB" w:eastAsia="de-DE"/>
          <w14:ligatures w14:val="none"/>
        </w:rPr>
      </w:pPr>
      <w:r w:rsidRPr="008A3139">
        <w:rPr>
          <w:rFonts w:ascii="Arial" w:eastAsia="Calibri" w:hAnsi="Arial" w:cs="Times New Roman"/>
          <w:noProof/>
          <w:kern w:val="0"/>
          <w:sz w:val="20"/>
          <w:lang w:val="en-GB" w:eastAsia="de-DE"/>
          <w14:ligatures w14:val="none"/>
        </w:rPr>
        <w:t>Aquila Group is a leading investment manager in real asset solutions. Its sustainable investment strategy focuses on investments in renewable energy, energy efficiency, infrastructure, residential real estate and green logistics. Founded in 2001 by Dieter Rentsch and Roman Rosslenbroich as one of the first German alternative investment companies, Aquila Group currently manages EUR 12.5 billion for institutional investors worldwide.</w:t>
      </w:r>
    </w:p>
    <w:p w14:paraId="7771AA4D" w14:textId="77777777" w:rsidR="008A3139" w:rsidRPr="008A3139" w:rsidRDefault="008A3139" w:rsidP="008A3139">
      <w:pPr>
        <w:spacing w:after="60" w:line="260" w:lineRule="atLeast"/>
        <w:jc w:val="both"/>
        <w:rPr>
          <w:rFonts w:ascii="Arial" w:eastAsia="Calibri" w:hAnsi="Arial" w:cs="Times New Roman"/>
          <w:noProof/>
          <w:kern w:val="0"/>
          <w:sz w:val="20"/>
          <w:lang w:val="en-GB" w:eastAsia="de-DE"/>
          <w14:ligatures w14:val="none"/>
        </w:rPr>
      </w:pPr>
      <w:r w:rsidRPr="008A3139">
        <w:rPr>
          <w:rFonts w:ascii="Arial" w:eastAsia="Calibri" w:hAnsi="Arial" w:cs="Times New Roman"/>
          <w:noProof/>
          <w:kern w:val="0"/>
          <w:sz w:val="20"/>
          <w:lang w:val="en-GB" w:eastAsia="de-DE"/>
          <w14:ligatures w14:val="none"/>
        </w:rPr>
        <w:t>Over the last decade, Aquila Group has built a portfolio of assets in Europe with investments in the renewable energy sector amounting to a total capacity of 10.7 GW and more than 2 million square metres of sustainable real estate and green logistics projects completed or under development.</w:t>
      </w:r>
    </w:p>
    <w:p w14:paraId="5E9F4428" w14:textId="77777777" w:rsidR="008A3139" w:rsidRPr="008A3139" w:rsidRDefault="008A3139" w:rsidP="008A3139">
      <w:pPr>
        <w:spacing w:after="60" w:line="260" w:lineRule="atLeast"/>
        <w:jc w:val="both"/>
        <w:rPr>
          <w:rFonts w:ascii="Arial" w:eastAsia="Calibri" w:hAnsi="Arial" w:cs="Times New Roman"/>
          <w:noProof/>
          <w:kern w:val="0"/>
          <w:sz w:val="20"/>
          <w:lang w:val="en-GB" w:eastAsia="de-DE"/>
          <w14:ligatures w14:val="none"/>
        </w:rPr>
      </w:pPr>
      <w:r w:rsidRPr="008A3139">
        <w:rPr>
          <w:rFonts w:ascii="Arial" w:eastAsia="Calibri" w:hAnsi="Arial" w:cs="Times New Roman"/>
          <w:noProof/>
          <w:kern w:val="0"/>
          <w:sz w:val="20"/>
          <w:lang w:val="en-GB" w:eastAsia="de-DE"/>
          <w14:ligatures w14:val="none"/>
        </w:rPr>
        <w:t xml:space="preserve">As a responsible investor, Aquila Group is committed to contributing to the European energy transition by financing sustainable investments and providing investment solutions that reduce carbon emissions. </w:t>
      </w:r>
    </w:p>
    <w:p w14:paraId="1F0699DC" w14:textId="77777777" w:rsidR="008A3139" w:rsidRPr="008A3139" w:rsidRDefault="008A3139" w:rsidP="008A3139">
      <w:pPr>
        <w:spacing w:after="60" w:line="260" w:lineRule="atLeast"/>
        <w:jc w:val="both"/>
        <w:rPr>
          <w:rFonts w:ascii="Arial" w:eastAsia="Calibri" w:hAnsi="Arial" w:cs="Times New Roman"/>
          <w:noProof/>
          <w:kern w:val="0"/>
          <w:sz w:val="20"/>
          <w:lang w:val="en-GB" w:eastAsia="de-DE"/>
          <w14:ligatures w14:val="none"/>
        </w:rPr>
      </w:pPr>
      <w:r w:rsidRPr="008A3139">
        <w:rPr>
          <w:rFonts w:ascii="Arial" w:eastAsia="Calibri" w:hAnsi="Arial" w:cs="Times New Roman"/>
          <w:noProof/>
          <w:kern w:val="0"/>
          <w:sz w:val="20"/>
          <w:lang w:val="en-GB" w:eastAsia="de-DE"/>
          <w14:ligatures w14:val="none"/>
        </w:rPr>
        <w:t>To create value for its investors, Aquila Group employs a fully integrated investment and asset management approach and integrates Environmental, Governance and Sustainability criteria throughout the investment process. Aquila Group's teams of investment experts draw on their sector networks and expertise to select, develop, finance, manage and operate investments along the entire value chain. As this concept requires local management teams, Aquila Group is currently represented with 14 investment offices in 12 countries.</w:t>
      </w:r>
    </w:p>
    <w:p w14:paraId="66890C65" w14:textId="65D5E9C9" w:rsidR="00054432" w:rsidRDefault="008A3139" w:rsidP="009A3A55">
      <w:pPr>
        <w:spacing w:after="60" w:line="260" w:lineRule="atLeast"/>
        <w:jc w:val="both"/>
        <w:rPr>
          <w:rFonts w:ascii="Arial" w:eastAsia="Calibri" w:hAnsi="Arial" w:cs="Times New Roman"/>
          <w:noProof/>
          <w:kern w:val="0"/>
          <w:sz w:val="20"/>
          <w:lang w:val="en-GB" w:eastAsia="de-DE"/>
          <w14:ligatures w14:val="none"/>
        </w:rPr>
      </w:pPr>
      <w:r w:rsidRPr="008A3139">
        <w:rPr>
          <w:rFonts w:ascii="Arial" w:eastAsia="Calibri" w:hAnsi="Arial" w:cs="Times New Roman"/>
          <w:noProof/>
          <w:kern w:val="0"/>
          <w:sz w:val="20"/>
          <w:lang w:val="en-GB" w:eastAsia="de-DE"/>
          <w14:ligatures w14:val="none"/>
        </w:rPr>
        <w:t>Aquila Clean Energy (ACE) is the Aquila Capital group company responsible for the (co-)development and construction of Aquila Capital's portfolio of wind and solar PV projects in Spain, Portugal, Greece and Italy. ACE's team of professionals consists of experts from the development and construction areas, integrating strong technical expertise with Aquila Capital's investment experience.</w:t>
      </w:r>
    </w:p>
    <w:p w14:paraId="144DAA31" w14:textId="77777777" w:rsidR="009A3A55" w:rsidRPr="009A3A55" w:rsidRDefault="009A3A55" w:rsidP="009A3A55">
      <w:pPr>
        <w:spacing w:after="60" w:line="260" w:lineRule="atLeast"/>
        <w:jc w:val="both"/>
        <w:rPr>
          <w:rFonts w:ascii="Arial" w:eastAsia="Calibri" w:hAnsi="Arial" w:cs="Times New Roman"/>
          <w:noProof/>
          <w:kern w:val="0"/>
          <w:sz w:val="20"/>
          <w:lang w:val="en-GB" w:eastAsia="de-DE"/>
          <w14:ligatures w14:val="none"/>
        </w:rPr>
      </w:pPr>
    </w:p>
    <w:p w14:paraId="3F3EAA53" w14:textId="67F46022" w:rsidR="001E25F9" w:rsidRPr="008B6A6D" w:rsidRDefault="001E25F9" w:rsidP="008B6A6D">
      <w:pPr>
        <w:pStyle w:val="ListParagraph"/>
        <w:keepNext/>
        <w:numPr>
          <w:ilvl w:val="0"/>
          <w:numId w:val="18"/>
        </w:numPr>
        <w:overflowPunct w:val="0"/>
        <w:spacing w:before="240" w:after="240" w:line="276" w:lineRule="auto"/>
        <w:jc w:val="both"/>
        <w:rPr>
          <w:rFonts w:ascii="Avenir Next LT Pro" w:eastAsia="Aptos" w:hAnsi="Avenir Next LT Pro" w:cs="Aptos"/>
          <w:b/>
          <w:bCs/>
          <w:color w:val="156082"/>
          <w:spacing w:val="-3"/>
          <w:kern w:val="0"/>
          <w:sz w:val="28"/>
          <w:szCs w:val="28"/>
          <w:lang w:eastAsia="zh-CN"/>
          <w14:ligatures w14:val="none"/>
        </w:rPr>
      </w:pPr>
      <w:r w:rsidRPr="008B6A6D">
        <w:rPr>
          <w:rFonts w:ascii="Avenir Next LT Pro" w:eastAsia="Aptos" w:hAnsi="Avenir Next LT Pro" w:cs="Aptos"/>
          <w:b/>
          <w:bCs/>
          <w:color w:val="156082"/>
          <w:spacing w:val="-3"/>
          <w:kern w:val="0"/>
          <w:sz w:val="28"/>
          <w:szCs w:val="28"/>
          <w:lang w:eastAsia="zh-CN"/>
          <w14:ligatures w14:val="none"/>
        </w:rPr>
        <w:t>Project Description</w:t>
      </w:r>
      <w:bookmarkEnd w:id="2"/>
      <w:bookmarkEnd w:id="3"/>
      <w:bookmarkEnd w:id="4"/>
      <w:bookmarkEnd w:id="5"/>
      <w:bookmarkEnd w:id="6"/>
      <w:bookmarkEnd w:id="7"/>
    </w:p>
    <w:p w14:paraId="3B981BA2" w14:textId="41A72606" w:rsidR="00D34454" w:rsidRDefault="00CB69D1">
      <w:r>
        <w:t>UAB Kaunas</w:t>
      </w:r>
      <w:r w:rsidR="00EF4FDC">
        <w:t xml:space="preserve"> BESS is a </w:t>
      </w:r>
      <w:r w:rsidR="005D031B">
        <w:t xml:space="preserve">planned </w:t>
      </w:r>
      <w:r w:rsidR="00A1239B">
        <w:t xml:space="preserve">50 </w:t>
      </w:r>
      <w:r w:rsidR="00EF4FDC">
        <w:t xml:space="preserve">MW </w:t>
      </w:r>
      <w:proofErr w:type="gramStart"/>
      <w:r w:rsidR="00A1239B">
        <w:t>2 hour</w:t>
      </w:r>
      <w:proofErr w:type="gramEnd"/>
      <w:r w:rsidR="00A1239B">
        <w:t xml:space="preserve"> duration </w:t>
      </w:r>
      <w:r w:rsidR="00EF4FDC">
        <w:t>standalone BESS</w:t>
      </w:r>
      <w:r w:rsidR="00FE6942">
        <w:t xml:space="preserve"> at the</w:t>
      </w:r>
      <w:r w:rsidR="005D031B">
        <w:t xml:space="preserve"> </w:t>
      </w:r>
      <w:r w:rsidR="00127674">
        <w:t xml:space="preserve">land plot </w:t>
      </w:r>
      <w:proofErr w:type="spellStart"/>
      <w:r w:rsidR="00C46F26" w:rsidRPr="00C46F26">
        <w:t>Panevėžys</w:t>
      </w:r>
      <w:proofErr w:type="spellEnd"/>
      <w:r w:rsidR="00C46F26" w:rsidRPr="00C46F26">
        <w:t xml:space="preserve"> district municipality, </w:t>
      </w:r>
      <w:proofErr w:type="spellStart"/>
      <w:r w:rsidR="00C46F26" w:rsidRPr="00C46F26">
        <w:t>Panevėžys</w:t>
      </w:r>
      <w:proofErr w:type="spellEnd"/>
      <w:r w:rsidR="00C46F26" w:rsidRPr="00C46F26">
        <w:t xml:space="preserve"> </w:t>
      </w:r>
      <w:proofErr w:type="spellStart"/>
      <w:r w:rsidR="00C46F26" w:rsidRPr="00C46F26">
        <w:t>sen.</w:t>
      </w:r>
      <w:proofErr w:type="spellEnd"/>
      <w:r w:rsidR="00C46F26" w:rsidRPr="00C46F26">
        <w:t xml:space="preserve">, </w:t>
      </w:r>
      <w:proofErr w:type="spellStart"/>
      <w:r w:rsidR="00C46F26" w:rsidRPr="00C46F26">
        <w:t>Bliūdžiai</w:t>
      </w:r>
      <w:proofErr w:type="spellEnd"/>
      <w:r w:rsidR="00C46F26" w:rsidRPr="00C46F26">
        <w:t xml:space="preserve"> village (plot unique no. 4400-0019-0907)</w:t>
      </w:r>
      <w:r w:rsidR="00127674">
        <w:t>,</w:t>
      </w:r>
      <w:r w:rsidR="00DD3057">
        <w:t xml:space="preserve"> Lithuania</w:t>
      </w:r>
      <w:r w:rsidR="00127674">
        <w:t xml:space="preserve"> and </w:t>
      </w:r>
      <w:r w:rsidR="00FE6942">
        <w:t>connecting to</w:t>
      </w:r>
      <w:r w:rsidR="00127674">
        <w:t xml:space="preserve"> </w:t>
      </w:r>
      <w:r w:rsidR="00635A53">
        <w:t>110k</w:t>
      </w:r>
      <w:r w:rsidR="001254F9">
        <w:t>V over-</w:t>
      </w:r>
      <w:proofErr w:type="gramStart"/>
      <w:r w:rsidR="001254F9">
        <w:t>head line</w:t>
      </w:r>
      <w:proofErr w:type="gramEnd"/>
      <w:r w:rsidR="001254F9">
        <w:t xml:space="preserve"> </w:t>
      </w:r>
      <w:proofErr w:type="spellStart"/>
      <w:r w:rsidR="001254F9">
        <w:t>Krekenava-</w:t>
      </w:r>
      <w:r w:rsidR="00127674">
        <w:t>Panevėžys</w:t>
      </w:r>
      <w:proofErr w:type="spellEnd"/>
      <w:r w:rsidR="00127674">
        <w:t xml:space="preserve"> </w:t>
      </w:r>
      <w:r w:rsidR="001254F9">
        <w:t>I.</w:t>
      </w:r>
      <w:r w:rsidR="00EF4FDC">
        <w:br w:type="page"/>
      </w:r>
    </w:p>
    <w:p w14:paraId="328A0FF6" w14:textId="77777777" w:rsidR="00D34454" w:rsidRDefault="00D34454" w:rsidP="008B372F"/>
    <w:p w14:paraId="178CFBB7" w14:textId="1244326A" w:rsidR="008B372F" w:rsidRPr="008B6A6D" w:rsidRDefault="00932DB9" w:rsidP="008B6A6D">
      <w:pPr>
        <w:pStyle w:val="ListParagraph"/>
        <w:keepNext/>
        <w:numPr>
          <w:ilvl w:val="0"/>
          <w:numId w:val="18"/>
        </w:numPr>
        <w:overflowPunct w:val="0"/>
        <w:spacing w:before="240" w:after="240" w:line="276" w:lineRule="auto"/>
        <w:jc w:val="both"/>
        <w:rPr>
          <w:rFonts w:ascii="Avenir Next LT Pro" w:eastAsia="Aptos" w:hAnsi="Avenir Next LT Pro" w:cs="Aptos"/>
          <w:b/>
          <w:bCs/>
          <w:color w:val="156082"/>
          <w:spacing w:val="-3"/>
          <w:kern w:val="0"/>
          <w:sz w:val="28"/>
          <w:szCs w:val="28"/>
          <w:lang w:eastAsia="zh-CN"/>
          <w14:ligatures w14:val="none"/>
        </w:rPr>
      </w:pPr>
      <w:r w:rsidRPr="008B6A6D">
        <w:rPr>
          <w:rFonts w:ascii="Avenir Next LT Pro" w:eastAsia="Aptos" w:hAnsi="Avenir Next LT Pro" w:cs="Aptos"/>
          <w:b/>
          <w:bCs/>
          <w:color w:val="156082"/>
          <w:spacing w:val="-3"/>
          <w:kern w:val="0"/>
          <w:sz w:val="28"/>
          <w:szCs w:val="28"/>
          <w:lang w:eastAsia="zh-CN"/>
          <w14:ligatures w14:val="none"/>
        </w:rPr>
        <w:t>Project Location</w:t>
      </w:r>
    </w:p>
    <w:tbl>
      <w:tblPr>
        <w:tblW w:w="6660" w:type="dxa"/>
        <w:tblCellMar>
          <w:left w:w="0" w:type="dxa"/>
          <w:right w:w="0" w:type="dxa"/>
        </w:tblCellMar>
        <w:tblLook w:val="04A0" w:firstRow="1" w:lastRow="0" w:firstColumn="1" w:lastColumn="0" w:noHBand="0" w:noVBand="1"/>
      </w:tblPr>
      <w:tblGrid>
        <w:gridCol w:w="2980"/>
        <w:gridCol w:w="3680"/>
      </w:tblGrid>
      <w:tr w:rsidR="001E25F9" w:rsidRPr="00DD79ED" w14:paraId="6F6CAF60" w14:textId="07249E4D" w:rsidTr="5949ABDC">
        <w:trPr>
          <w:trHeight w:val="300"/>
        </w:trPr>
        <w:tc>
          <w:tcPr>
            <w:tcW w:w="2980" w:type="dxa"/>
            <w:tcBorders>
              <w:top w:val="nil"/>
              <w:left w:val="nil"/>
              <w:bottom w:val="single" w:sz="8" w:space="0" w:color="71C3B8"/>
              <w:right w:val="nil"/>
            </w:tcBorders>
            <w:shd w:val="clear" w:color="auto" w:fill="FFFFFF" w:themeFill="background1"/>
            <w:tcMar>
              <w:top w:w="0" w:type="dxa"/>
              <w:left w:w="108" w:type="dxa"/>
              <w:bottom w:w="0" w:type="dxa"/>
              <w:right w:w="108" w:type="dxa"/>
            </w:tcMar>
            <w:vAlign w:val="center"/>
            <w:hideMark/>
          </w:tcPr>
          <w:p w14:paraId="621900FA" w14:textId="30F9FA4A" w:rsidR="001E25F9" w:rsidRPr="00FF24E5" w:rsidRDefault="001E25F9" w:rsidP="00F605D1">
            <w:pPr>
              <w:spacing w:after="0" w:line="240" w:lineRule="auto"/>
              <w:jc w:val="right"/>
              <w:rPr>
                <w:rFonts w:ascii="Calibri" w:eastAsia="Aptos" w:hAnsi="Calibri" w:cs="Calibri"/>
                <w:b/>
                <w:bCs/>
                <w:color w:val="000000"/>
                <w:kern w:val="0"/>
                <w14:ligatures w14:val="none"/>
              </w:rPr>
            </w:pPr>
            <w:r w:rsidRPr="00EA437F">
              <w:rPr>
                <w:rFonts w:ascii="Calibri" w:eastAsia="Aptos" w:hAnsi="Calibri" w:cs="Calibri"/>
                <w:b/>
                <w:bCs/>
                <w:color w:val="000000" w:themeColor="text1"/>
                <w:lang w:val="en-GB"/>
              </w:rPr>
              <w:t>BESS Site</w:t>
            </w:r>
          </w:p>
        </w:tc>
        <w:tc>
          <w:tcPr>
            <w:tcW w:w="3680" w:type="dxa"/>
            <w:tcBorders>
              <w:top w:val="nil"/>
              <w:left w:val="nil"/>
              <w:bottom w:val="single" w:sz="8" w:space="0" w:color="71C3B8"/>
              <w:right w:val="nil"/>
            </w:tcBorders>
            <w:shd w:val="clear" w:color="auto" w:fill="FFFFFF" w:themeFill="background1"/>
            <w:tcMar>
              <w:top w:w="0" w:type="dxa"/>
              <w:left w:w="108" w:type="dxa"/>
              <w:bottom w:w="0" w:type="dxa"/>
              <w:right w:w="108" w:type="dxa"/>
            </w:tcMar>
            <w:vAlign w:val="center"/>
            <w:hideMark/>
          </w:tcPr>
          <w:p w14:paraId="744753F4" w14:textId="2AE4F9B7" w:rsidR="001E25F9" w:rsidRPr="001E25F9" w:rsidRDefault="00AF29D2" w:rsidP="00F605D1">
            <w:pPr>
              <w:spacing w:after="0" w:line="240" w:lineRule="auto"/>
              <w:rPr>
                <w:rFonts w:ascii="Calibri" w:eastAsia="Aptos" w:hAnsi="Calibri" w:cs="Calibri"/>
                <w:color w:val="FF0000"/>
                <w:kern w:val="0"/>
                <w:lang w:val="pt-BR"/>
                <w14:ligatures w14:val="none"/>
              </w:rPr>
            </w:pPr>
            <w:proofErr w:type="spellStart"/>
            <w:r w:rsidRPr="00AF29D2">
              <w:rPr>
                <w:rFonts w:ascii="Calibri" w:eastAsia="Aptos" w:hAnsi="Calibri" w:cs="Calibri"/>
                <w:color w:val="000000" w:themeColor="text1"/>
                <w:lang w:val="pt-BR"/>
              </w:rPr>
              <w:t>Panevėžys</w:t>
            </w:r>
            <w:proofErr w:type="spellEnd"/>
            <w:r w:rsidRPr="00AF29D2">
              <w:rPr>
                <w:rFonts w:ascii="Calibri" w:eastAsia="Aptos" w:hAnsi="Calibri" w:cs="Calibri"/>
                <w:color w:val="000000" w:themeColor="text1"/>
                <w:lang w:val="pt-BR"/>
              </w:rPr>
              <w:t xml:space="preserve"> </w:t>
            </w:r>
            <w:proofErr w:type="spellStart"/>
            <w:r w:rsidR="009B4AAF">
              <w:rPr>
                <w:rFonts w:ascii="Calibri" w:eastAsia="Aptos" w:hAnsi="Calibri" w:cs="Calibri"/>
                <w:color w:val="000000" w:themeColor="text1"/>
                <w:lang w:val="pt-BR"/>
              </w:rPr>
              <w:t>District</w:t>
            </w:r>
            <w:proofErr w:type="spellEnd"/>
            <w:r w:rsidR="009B4AAF" w:rsidRPr="00AF29D2">
              <w:rPr>
                <w:rFonts w:ascii="Calibri" w:eastAsia="Aptos" w:hAnsi="Calibri" w:cs="Calibri"/>
                <w:color w:val="000000" w:themeColor="text1"/>
                <w:lang w:val="pt-BR"/>
              </w:rPr>
              <w:t xml:space="preserve"> </w:t>
            </w:r>
            <w:proofErr w:type="spellStart"/>
            <w:r w:rsidRPr="00AF29D2">
              <w:rPr>
                <w:rFonts w:ascii="Calibri" w:eastAsia="Aptos" w:hAnsi="Calibri" w:cs="Calibri"/>
                <w:color w:val="000000" w:themeColor="text1"/>
                <w:lang w:val="pt-BR"/>
              </w:rPr>
              <w:t>Municipality</w:t>
            </w:r>
            <w:proofErr w:type="spellEnd"/>
            <w:r w:rsidRPr="00AF29D2">
              <w:rPr>
                <w:rFonts w:ascii="Calibri" w:eastAsia="Aptos" w:hAnsi="Calibri" w:cs="Calibri"/>
                <w:color w:val="000000" w:themeColor="text1"/>
                <w:lang w:val="pt-BR"/>
              </w:rPr>
              <w:t xml:space="preserve">, </w:t>
            </w:r>
            <w:proofErr w:type="spellStart"/>
            <w:r w:rsidRPr="00AF29D2">
              <w:rPr>
                <w:rFonts w:ascii="Calibri" w:eastAsia="Aptos" w:hAnsi="Calibri" w:cs="Calibri"/>
                <w:color w:val="000000" w:themeColor="text1"/>
                <w:lang w:val="pt-BR"/>
              </w:rPr>
              <w:t>Lithuania</w:t>
            </w:r>
            <w:proofErr w:type="spellEnd"/>
          </w:p>
        </w:tc>
      </w:tr>
      <w:tr w:rsidR="001E25F9" w:rsidRPr="00FF24E5" w14:paraId="01D5DF90" w14:textId="14233EAD" w:rsidTr="5949ABDC">
        <w:trPr>
          <w:trHeight w:val="288"/>
        </w:trPr>
        <w:tc>
          <w:tcPr>
            <w:tcW w:w="2980" w:type="dxa"/>
            <w:tcBorders>
              <w:top w:val="nil"/>
              <w:left w:val="nil"/>
              <w:bottom w:val="nil"/>
              <w:right w:val="single" w:sz="8" w:space="0" w:color="71C3B8"/>
            </w:tcBorders>
            <w:shd w:val="clear" w:color="auto" w:fill="FFFFFF" w:themeFill="background1"/>
            <w:tcMar>
              <w:top w:w="0" w:type="dxa"/>
              <w:left w:w="108" w:type="dxa"/>
              <w:bottom w:w="0" w:type="dxa"/>
              <w:right w:w="108" w:type="dxa"/>
            </w:tcMar>
            <w:vAlign w:val="center"/>
            <w:hideMark/>
          </w:tcPr>
          <w:p w14:paraId="3790D9E8" w14:textId="0FFD6FEF" w:rsidR="001E25F9" w:rsidRPr="00FF24E5" w:rsidRDefault="001E25F9" w:rsidP="00F605D1">
            <w:pPr>
              <w:spacing w:after="0" w:line="240" w:lineRule="auto"/>
              <w:jc w:val="right"/>
              <w:rPr>
                <w:rFonts w:ascii="Calibri" w:eastAsia="Aptos" w:hAnsi="Calibri" w:cs="Calibri"/>
                <w:color w:val="000000"/>
                <w:kern w:val="0"/>
                <w14:ligatures w14:val="none"/>
              </w:rPr>
            </w:pPr>
            <w:r w:rsidRPr="00EA437F">
              <w:rPr>
                <w:rFonts w:ascii="Calibri" w:eastAsia="Aptos" w:hAnsi="Calibri" w:cs="Calibri"/>
                <w:color w:val="000000"/>
                <w:kern w:val="0"/>
                <w:lang w:val="en-GB"/>
                <w14:ligatures w14:val="none"/>
              </w:rPr>
              <w:t>GPS Coordinates</w:t>
            </w:r>
          </w:p>
        </w:tc>
        <w:tc>
          <w:tcPr>
            <w:tcW w:w="3680" w:type="dxa"/>
            <w:shd w:val="clear" w:color="auto" w:fill="E2F3F0"/>
            <w:tcMar>
              <w:top w:w="0" w:type="dxa"/>
              <w:left w:w="108" w:type="dxa"/>
              <w:bottom w:w="0" w:type="dxa"/>
              <w:right w:w="108" w:type="dxa"/>
            </w:tcMar>
            <w:vAlign w:val="center"/>
            <w:hideMark/>
          </w:tcPr>
          <w:p w14:paraId="4B045FA3" w14:textId="5757AC11" w:rsidR="001E25F9" w:rsidRPr="00FF24E5" w:rsidRDefault="00601379" w:rsidP="00F605D1">
            <w:pPr>
              <w:spacing w:after="0" w:line="240" w:lineRule="auto"/>
              <w:rPr>
                <w:rFonts w:ascii="Calibri" w:eastAsia="Aptos" w:hAnsi="Calibri" w:cs="Calibri"/>
                <w:color w:val="000000"/>
                <w:kern w:val="0"/>
                <w14:ligatures w14:val="none"/>
              </w:rPr>
            </w:pPr>
            <w:r w:rsidRPr="00601379">
              <w:rPr>
                <w:rFonts w:ascii="Calibri" w:eastAsia="Aptos" w:hAnsi="Calibri" w:cs="Calibri"/>
                <w:color w:val="000000"/>
                <w:kern w:val="0"/>
                <w:lang w:val="en-GB"/>
                <w14:ligatures w14:val="none"/>
              </w:rPr>
              <w:t>55°45'39.1"N 24°18'43.7"E</w:t>
            </w:r>
          </w:p>
        </w:tc>
      </w:tr>
      <w:tr w:rsidR="001E25F9" w:rsidRPr="00FF24E5" w14:paraId="5898460D" w14:textId="1B3B9E4A" w:rsidTr="5949ABDC">
        <w:trPr>
          <w:trHeight w:val="288"/>
        </w:trPr>
        <w:tc>
          <w:tcPr>
            <w:tcW w:w="2980" w:type="dxa"/>
            <w:tcBorders>
              <w:top w:val="nil"/>
              <w:left w:val="nil"/>
              <w:bottom w:val="nil"/>
              <w:right w:val="single" w:sz="8" w:space="0" w:color="71C3B8"/>
            </w:tcBorders>
            <w:shd w:val="clear" w:color="auto" w:fill="FFFFFF" w:themeFill="background1"/>
            <w:tcMar>
              <w:top w:w="0" w:type="dxa"/>
              <w:left w:w="108" w:type="dxa"/>
              <w:bottom w:w="0" w:type="dxa"/>
              <w:right w:w="108" w:type="dxa"/>
            </w:tcMar>
            <w:vAlign w:val="center"/>
          </w:tcPr>
          <w:p w14:paraId="2D9E7EE7" w14:textId="704ED2D8" w:rsidR="001E25F9" w:rsidRPr="00EA437F" w:rsidRDefault="001E25F9" w:rsidP="00F605D1">
            <w:pPr>
              <w:spacing w:after="0" w:line="240" w:lineRule="auto"/>
              <w:jc w:val="right"/>
              <w:rPr>
                <w:rFonts w:ascii="Calibri" w:eastAsia="Aptos" w:hAnsi="Calibri" w:cs="Calibri"/>
                <w:color w:val="000000"/>
                <w:kern w:val="0"/>
                <w:lang w:val="en-GB"/>
                <w14:ligatures w14:val="none"/>
              </w:rPr>
            </w:pPr>
            <w:r w:rsidRPr="00EA437F">
              <w:rPr>
                <w:rFonts w:ascii="Calibri" w:eastAsia="Aptos" w:hAnsi="Calibri" w:cs="Calibri"/>
                <w:color w:val="000000"/>
                <w:kern w:val="0"/>
                <w:lang w:val="en-GB"/>
                <w14:ligatures w14:val="none"/>
              </w:rPr>
              <w:t>Nearest main city</w:t>
            </w:r>
          </w:p>
        </w:tc>
        <w:tc>
          <w:tcPr>
            <w:tcW w:w="3680" w:type="dxa"/>
            <w:shd w:val="clear" w:color="auto" w:fill="E2F3F0"/>
            <w:tcMar>
              <w:top w:w="0" w:type="dxa"/>
              <w:left w:w="108" w:type="dxa"/>
              <w:bottom w:w="0" w:type="dxa"/>
              <w:right w:w="108" w:type="dxa"/>
            </w:tcMar>
            <w:vAlign w:val="center"/>
          </w:tcPr>
          <w:p w14:paraId="34771CCA" w14:textId="30AC35E8" w:rsidR="001E25F9" w:rsidRPr="001E25F9" w:rsidRDefault="00AF29D2" w:rsidP="00F605D1">
            <w:pPr>
              <w:spacing w:after="0" w:line="240" w:lineRule="auto"/>
              <w:rPr>
                <w:rFonts w:ascii="Calibri" w:eastAsia="Aptos" w:hAnsi="Calibri" w:cs="Calibri"/>
                <w:color w:val="000000"/>
                <w:kern w:val="0"/>
                <w14:ligatures w14:val="none"/>
              </w:rPr>
            </w:pPr>
            <w:r w:rsidRPr="00AF29D2">
              <w:rPr>
                <w:rFonts w:ascii="Calibri" w:eastAsia="Aptos" w:hAnsi="Calibri" w:cs="Calibri"/>
                <w:color w:val="000000" w:themeColor="text1"/>
                <w:lang w:val="pt-BR"/>
              </w:rPr>
              <w:t>Panevėžys</w:t>
            </w:r>
          </w:p>
        </w:tc>
      </w:tr>
    </w:tbl>
    <w:p w14:paraId="1541DF10" w14:textId="52CB6EBC" w:rsidR="001E25F9" w:rsidRDefault="001E25F9" w:rsidP="001E25F9">
      <w:pPr>
        <w:spacing w:line="252" w:lineRule="auto"/>
        <w:rPr>
          <w:rFonts w:ascii="Aptos" w:eastAsia="Aptos" w:hAnsi="Aptos" w:cs="Aptos"/>
          <w:kern w:val="0"/>
        </w:rPr>
      </w:pPr>
    </w:p>
    <w:p w14:paraId="5D5BE9AB" w14:textId="616403ED" w:rsidR="00BC0265" w:rsidRDefault="00BC0265" w:rsidP="001E25F9">
      <w:pPr>
        <w:spacing w:line="252" w:lineRule="auto"/>
        <w:rPr>
          <w:rFonts w:ascii="Aptos" w:eastAsia="Aptos" w:hAnsi="Aptos" w:cs="Aptos"/>
          <w:kern w:val="0"/>
        </w:rPr>
      </w:pPr>
    </w:p>
    <w:p w14:paraId="1B1731CC" w14:textId="31E790F7" w:rsidR="001E25F9" w:rsidRPr="008B6A6D" w:rsidRDefault="001E25F9" w:rsidP="008B6A6D">
      <w:pPr>
        <w:pStyle w:val="ListParagraph"/>
        <w:keepNext/>
        <w:numPr>
          <w:ilvl w:val="0"/>
          <w:numId w:val="18"/>
        </w:numPr>
        <w:overflowPunct w:val="0"/>
        <w:spacing w:before="240" w:after="240" w:line="276" w:lineRule="auto"/>
        <w:jc w:val="both"/>
        <w:rPr>
          <w:rFonts w:ascii="Avenir Next LT Pro" w:eastAsia="Aptos" w:hAnsi="Avenir Next LT Pro" w:cs="Aptos"/>
          <w:b/>
          <w:bCs/>
          <w:color w:val="156082"/>
          <w:spacing w:val="-3"/>
          <w:kern w:val="0"/>
          <w:sz w:val="28"/>
          <w:szCs w:val="28"/>
          <w:lang w:eastAsia="zh-CN"/>
          <w14:ligatures w14:val="none"/>
        </w:rPr>
      </w:pPr>
      <w:bookmarkStart w:id="8" w:name="_Toc171431161"/>
      <w:r w:rsidRPr="008B6A6D">
        <w:rPr>
          <w:rFonts w:ascii="Avenir Next LT Pro" w:eastAsia="Aptos" w:hAnsi="Avenir Next LT Pro" w:cs="Aptos"/>
          <w:b/>
          <w:bCs/>
          <w:color w:val="156082"/>
          <w:spacing w:val="-3"/>
          <w:kern w:val="0"/>
          <w:sz w:val="28"/>
          <w:szCs w:val="28"/>
          <w:lang w:eastAsia="zh-CN"/>
          <w14:ligatures w14:val="none"/>
        </w:rPr>
        <w:t>Environmental conditions</w:t>
      </w:r>
      <w:bookmarkEnd w:id="8"/>
    </w:p>
    <w:tbl>
      <w:tblPr>
        <w:tblW w:w="6660" w:type="dxa"/>
        <w:tblCellMar>
          <w:left w:w="0" w:type="dxa"/>
          <w:right w:w="0" w:type="dxa"/>
        </w:tblCellMar>
        <w:tblLook w:val="04A0" w:firstRow="1" w:lastRow="0" w:firstColumn="1" w:lastColumn="0" w:noHBand="0" w:noVBand="1"/>
      </w:tblPr>
      <w:tblGrid>
        <w:gridCol w:w="2980"/>
        <w:gridCol w:w="3680"/>
      </w:tblGrid>
      <w:tr w:rsidR="00932DB9" w:rsidRPr="001E25F9" w14:paraId="162C30DD" w14:textId="77777777" w:rsidTr="10FCEC34">
        <w:trPr>
          <w:trHeight w:val="300"/>
        </w:trPr>
        <w:tc>
          <w:tcPr>
            <w:tcW w:w="2980" w:type="dxa"/>
            <w:tcBorders>
              <w:top w:val="nil"/>
              <w:left w:val="nil"/>
              <w:bottom w:val="single" w:sz="8" w:space="0" w:color="71C3B8"/>
              <w:right w:val="nil"/>
            </w:tcBorders>
            <w:shd w:val="clear" w:color="auto" w:fill="FFFFFF" w:themeFill="background1"/>
            <w:tcMar>
              <w:top w:w="0" w:type="dxa"/>
              <w:left w:w="108" w:type="dxa"/>
              <w:bottom w:w="0" w:type="dxa"/>
              <w:right w:w="108" w:type="dxa"/>
            </w:tcMar>
            <w:vAlign w:val="center"/>
            <w:hideMark/>
          </w:tcPr>
          <w:p w14:paraId="0C53A642" w14:textId="0AAE9951" w:rsidR="00932DB9" w:rsidRPr="00FF24E5" w:rsidRDefault="00932DB9" w:rsidP="00F605D1">
            <w:pPr>
              <w:spacing w:after="0" w:line="240" w:lineRule="auto"/>
              <w:jc w:val="right"/>
              <w:rPr>
                <w:rFonts w:ascii="Calibri" w:eastAsia="Aptos" w:hAnsi="Calibri" w:cs="Calibri"/>
                <w:b/>
                <w:bCs/>
                <w:color w:val="000000"/>
                <w:kern w:val="0"/>
                <w14:ligatures w14:val="none"/>
              </w:rPr>
            </w:pPr>
            <w:r w:rsidRPr="00FF24E5">
              <w:rPr>
                <w:rFonts w:ascii="Calibri" w:eastAsia="Aptos" w:hAnsi="Calibri" w:cs="Calibri"/>
                <w:b/>
                <w:bCs/>
                <w:color w:val="000000"/>
                <w:kern w:val="0"/>
                <w:lang w:val="de-DE"/>
                <w14:ligatures w14:val="none"/>
              </w:rPr>
              <w:t xml:space="preserve">BESS </w:t>
            </w:r>
          </w:p>
        </w:tc>
        <w:tc>
          <w:tcPr>
            <w:tcW w:w="3680" w:type="dxa"/>
            <w:tcBorders>
              <w:top w:val="nil"/>
              <w:left w:val="nil"/>
              <w:bottom w:val="single" w:sz="8" w:space="0" w:color="71C3B8"/>
              <w:right w:val="nil"/>
            </w:tcBorders>
            <w:shd w:val="clear" w:color="auto" w:fill="FFFFFF" w:themeFill="background1"/>
            <w:tcMar>
              <w:top w:w="0" w:type="dxa"/>
              <w:left w:w="108" w:type="dxa"/>
              <w:bottom w:w="0" w:type="dxa"/>
              <w:right w:w="108" w:type="dxa"/>
            </w:tcMar>
            <w:vAlign w:val="center"/>
          </w:tcPr>
          <w:p w14:paraId="001DE6CF" w14:textId="4AFFE98B" w:rsidR="00932DB9" w:rsidRPr="001E25F9" w:rsidRDefault="00932DB9" w:rsidP="00F605D1">
            <w:pPr>
              <w:spacing w:after="0" w:line="240" w:lineRule="auto"/>
              <w:rPr>
                <w:rFonts w:ascii="Calibri" w:eastAsia="Aptos" w:hAnsi="Calibri" w:cs="Calibri"/>
                <w:color w:val="FF0000"/>
                <w:kern w:val="0"/>
                <w:lang w:val="pt-BR"/>
                <w14:ligatures w14:val="none"/>
              </w:rPr>
            </w:pPr>
          </w:p>
        </w:tc>
      </w:tr>
      <w:tr w:rsidR="00932DB9" w:rsidRPr="00FF24E5" w14:paraId="2AD79B28" w14:textId="77777777" w:rsidTr="10FCEC34">
        <w:trPr>
          <w:trHeight w:val="288"/>
        </w:trPr>
        <w:tc>
          <w:tcPr>
            <w:tcW w:w="2980" w:type="dxa"/>
            <w:tcBorders>
              <w:top w:val="nil"/>
              <w:left w:val="nil"/>
              <w:bottom w:val="nil"/>
              <w:right w:val="single" w:sz="8" w:space="0" w:color="71C3B8"/>
            </w:tcBorders>
            <w:shd w:val="clear" w:color="auto" w:fill="FFFFFF" w:themeFill="background1"/>
            <w:tcMar>
              <w:top w:w="0" w:type="dxa"/>
              <w:left w:w="108" w:type="dxa"/>
              <w:bottom w:w="0" w:type="dxa"/>
              <w:right w:w="108" w:type="dxa"/>
            </w:tcMar>
            <w:vAlign w:val="center"/>
            <w:hideMark/>
          </w:tcPr>
          <w:p w14:paraId="385B562C" w14:textId="43C822DB" w:rsidR="00932DB9" w:rsidRPr="00FF24E5" w:rsidRDefault="00932DB9" w:rsidP="00F605D1">
            <w:pPr>
              <w:spacing w:after="0" w:line="240" w:lineRule="auto"/>
              <w:jc w:val="right"/>
              <w:rPr>
                <w:rFonts w:ascii="Calibri" w:eastAsia="Aptos" w:hAnsi="Calibri" w:cs="Calibri"/>
                <w:color w:val="000000"/>
                <w:kern w:val="0"/>
                <w14:ligatures w14:val="none"/>
              </w:rPr>
            </w:pPr>
            <w:r w:rsidRPr="00932DB9">
              <w:rPr>
                <w:rFonts w:ascii="Calibri" w:eastAsia="Aptos" w:hAnsi="Calibri" w:cs="Calibri"/>
                <w:color w:val="000000"/>
                <w:kern w:val="0"/>
                <w:lang w:val="de-DE"/>
                <w14:ligatures w14:val="none"/>
              </w:rPr>
              <w:t>Plant design lifetime</w:t>
            </w:r>
          </w:p>
        </w:tc>
        <w:tc>
          <w:tcPr>
            <w:tcW w:w="3680" w:type="dxa"/>
            <w:shd w:val="clear" w:color="auto" w:fill="E2F3F0"/>
            <w:tcMar>
              <w:top w:w="0" w:type="dxa"/>
              <w:left w:w="108" w:type="dxa"/>
              <w:bottom w:w="0" w:type="dxa"/>
              <w:right w:w="108" w:type="dxa"/>
            </w:tcMar>
            <w:vAlign w:val="center"/>
            <w:hideMark/>
          </w:tcPr>
          <w:p w14:paraId="2305A6AA" w14:textId="47D8935E" w:rsidR="00932DB9" w:rsidRPr="00FF24E5" w:rsidRDefault="006E157B" w:rsidP="00F605D1">
            <w:pPr>
              <w:spacing w:after="0" w:line="240" w:lineRule="auto"/>
              <w:rPr>
                <w:rFonts w:ascii="Calibri" w:eastAsia="Aptos" w:hAnsi="Calibri" w:cs="Calibri"/>
                <w:color w:val="000000"/>
                <w:kern w:val="0"/>
                <w14:ligatures w14:val="none"/>
              </w:rPr>
            </w:pPr>
            <w:r>
              <w:rPr>
                <w:rFonts w:ascii="Calibri" w:eastAsia="Aptos" w:hAnsi="Calibri" w:cs="Calibri"/>
                <w:color w:val="000000"/>
                <w:kern w:val="0"/>
                <w14:ligatures w14:val="none"/>
              </w:rPr>
              <w:t xml:space="preserve">Not less than </w:t>
            </w:r>
            <w:r w:rsidR="00177D26">
              <w:rPr>
                <w:rFonts w:ascii="Calibri" w:eastAsia="Aptos" w:hAnsi="Calibri" w:cs="Calibri"/>
                <w:color w:val="000000"/>
                <w:kern w:val="0"/>
                <w14:ligatures w14:val="none"/>
              </w:rPr>
              <w:t>19 y</w:t>
            </w:r>
            <w:r w:rsidR="00932DB9">
              <w:rPr>
                <w:rFonts w:ascii="Calibri" w:eastAsia="Aptos" w:hAnsi="Calibri" w:cs="Calibri"/>
                <w:color w:val="000000"/>
                <w:kern w:val="0"/>
                <w14:ligatures w14:val="none"/>
              </w:rPr>
              <w:t>ears</w:t>
            </w:r>
          </w:p>
        </w:tc>
      </w:tr>
      <w:tr w:rsidR="00932DB9" w:rsidRPr="001E25F9" w14:paraId="641AFA26" w14:textId="77777777" w:rsidTr="10FCEC34">
        <w:trPr>
          <w:trHeight w:val="288"/>
        </w:trPr>
        <w:tc>
          <w:tcPr>
            <w:tcW w:w="2980" w:type="dxa"/>
            <w:tcBorders>
              <w:top w:val="nil"/>
              <w:left w:val="nil"/>
              <w:bottom w:val="nil"/>
              <w:right w:val="single" w:sz="8" w:space="0" w:color="71C3B8"/>
            </w:tcBorders>
            <w:shd w:val="clear" w:color="auto" w:fill="FFFFFF" w:themeFill="background1"/>
            <w:tcMar>
              <w:top w:w="0" w:type="dxa"/>
              <w:left w:w="108" w:type="dxa"/>
              <w:bottom w:w="0" w:type="dxa"/>
              <w:right w:w="108" w:type="dxa"/>
            </w:tcMar>
            <w:vAlign w:val="center"/>
          </w:tcPr>
          <w:p w14:paraId="2C680761" w14:textId="4DC66D20" w:rsidR="00932DB9" w:rsidRDefault="00932DB9" w:rsidP="00F605D1">
            <w:pPr>
              <w:spacing w:after="0" w:line="240" w:lineRule="auto"/>
              <w:jc w:val="right"/>
              <w:rPr>
                <w:rFonts w:ascii="Calibri" w:eastAsia="Aptos" w:hAnsi="Calibri" w:cs="Calibri"/>
                <w:color w:val="000000"/>
                <w:kern w:val="0"/>
                <w:lang w:val="de-DE"/>
                <w14:ligatures w14:val="none"/>
              </w:rPr>
            </w:pPr>
            <w:r w:rsidRPr="00932DB9">
              <w:rPr>
                <w:rFonts w:ascii="Calibri" w:eastAsia="Aptos" w:hAnsi="Calibri" w:cs="Calibri"/>
                <w:color w:val="000000"/>
                <w:kern w:val="0"/>
                <w:lang w:val="de-DE"/>
                <w14:ligatures w14:val="none"/>
              </w:rPr>
              <w:t>Ambient temperature</w:t>
            </w:r>
          </w:p>
        </w:tc>
        <w:tc>
          <w:tcPr>
            <w:tcW w:w="3680" w:type="dxa"/>
            <w:shd w:val="clear" w:color="auto" w:fill="E2F3F0"/>
            <w:tcMar>
              <w:top w:w="0" w:type="dxa"/>
              <w:left w:w="108" w:type="dxa"/>
              <w:bottom w:w="0" w:type="dxa"/>
              <w:right w:w="108" w:type="dxa"/>
            </w:tcMar>
            <w:vAlign w:val="center"/>
          </w:tcPr>
          <w:p w14:paraId="2DEFD068" w14:textId="1AA058D1" w:rsidR="00932DB9" w:rsidRPr="001E25F9" w:rsidRDefault="006E157B" w:rsidP="00F605D1">
            <w:pPr>
              <w:spacing w:after="0" w:line="240" w:lineRule="auto"/>
              <w:rPr>
                <w:rFonts w:ascii="Calibri" w:eastAsia="Aptos" w:hAnsi="Calibri" w:cs="Calibri"/>
                <w:color w:val="000000"/>
                <w:kern w:val="0"/>
                <w14:ligatures w14:val="none"/>
              </w:rPr>
            </w:pPr>
            <w:r>
              <w:rPr>
                <w:rFonts w:ascii="Calibri" w:eastAsia="Aptos" w:hAnsi="Calibri" w:cs="Calibri"/>
                <w:color w:val="000000"/>
                <w:kern w:val="0"/>
                <w14:ligatures w14:val="none"/>
              </w:rPr>
              <w:t xml:space="preserve">Not less range than from </w:t>
            </w:r>
            <w:r w:rsidR="00932DB9" w:rsidRPr="005237A3">
              <w:rPr>
                <w:rFonts w:ascii="Calibri" w:eastAsia="Aptos" w:hAnsi="Calibri" w:cs="Calibri"/>
                <w:color w:val="000000"/>
                <w:kern w:val="0"/>
                <w14:ligatures w14:val="none"/>
              </w:rPr>
              <w:t>-10º</w:t>
            </w:r>
            <w:r w:rsidR="00032E88">
              <w:rPr>
                <w:rFonts w:ascii="Calibri" w:eastAsia="Aptos" w:hAnsi="Calibri" w:cs="Calibri"/>
                <w:color w:val="000000"/>
                <w:kern w:val="0"/>
                <w14:ligatures w14:val="none"/>
              </w:rPr>
              <w:t xml:space="preserve"> </w:t>
            </w:r>
            <w:r w:rsidR="00932DB9" w:rsidRPr="005237A3">
              <w:rPr>
                <w:rFonts w:ascii="Calibri" w:eastAsia="Aptos" w:hAnsi="Calibri" w:cs="Calibri"/>
                <w:color w:val="000000"/>
                <w:kern w:val="0"/>
                <w14:ligatures w14:val="none"/>
              </w:rPr>
              <w:t>C to 4</w:t>
            </w:r>
            <w:r w:rsidR="00645767" w:rsidRPr="005237A3">
              <w:rPr>
                <w:rFonts w:ascii="Calibri" w:eastAsia="Aptos" w:hAnsi="Calibri" w:cs="Calibri"/>
                <w:color w:val="000000"/>
                <w:kern w:val="0"/>
                <w14:ligatures w14:val="none"/>
              </w:rPr>
              <w:t>5</w:t>
            </w:r>
            <w:r w:rsidR="00932DB9" w:rsidRPr="005237A3">
              <w:rPr>
                <w:rFonts w:ascii="Calibri" w:eastAsia="Aptos" w:hAnsi="Calibri" w:cs="Calibri"/>
                <w:color w:val="000000"/>
                <w:kern w:val="0"/>
                <w14:ligatures w14:val="none"/>
              </w:rPr>
              <w:t>º</w:t>
            </w:r>
            <w:r w:rsidR="00032E88">
              <w:rPr>
                <w:rFonts w:ascii="Calibri" w:eastAsia="Aptos" w:hAnsi="Calibri" w:cs="Calibri"/>
                <w:color w:val="000000"/>
                <w:kern w:val="0"/>
                <w14:ligatures w14:val="none"/>
              </w:rPr>
              <w:t xml:space="preserve"> C</w:t>
            </w:r>
          </w:p>
        </w:tc>
      </w:tr>
      <w:tr w:rsidR="00932DB9" w:rsidRPr="001E25F9" w14:paraId="15B292E8" w14:textId="77777777" w:rsidTr="10FCEC34">
        <w:trPr>
          <w:trHeight w:val="288"/>
        </w:trPr>
        <w:tc>
          <w:tcPr>
            <w:tcW w:w="2980" w:type="dxa"/>
            <w:tcBorders>
              <w:top w:val="nil"/>
              <w:left w:val="nil"/>
              <w:bottom w:val="nil"/>
              <w:right w:val="single" w:sz="8" w:space="0" w:color="71C3B8"/>
            </w:tcBorders>
            <w:shd w:val="clear" w:color="auto" w:fill="FFFFFF" w:themeFill="background1"/>
            <w:tcMar>
              <w:top w:w="0" w:type="dxa"/>
              <w:left w:w="108" w:type="dxa"/>
              <w:bottom w:w="0" w:type="dxa"/>
              <w:right w:w="108" w:type="dxa"/>
            </w:tcMar>
            <w:vAlign w:val="center"/>
          </w:tcPr>
          <w:p w14:paraId="79FB71DF" w14:textId="1F026967" w:rsidR="00932DB9" w:rsidRDefault="00932DB9" w:rsidP="00F605D1">
            <w:pPr>
              <w:spacing w:after="0" w:line="240" w:lineRule="auto"/>
              <w:jc w:val="right"/>
              <w:rPr>
                <w:rFonts w:ascii="Calibri" w:eastAsia="Aptos" w:hAnsi="Calibri" w:cs="Calibri"/>
                <w:color w:val="000000"/>
                <w:kern w:val="0"/>
                <w:lang w:val="de-DE"/>
                <w14:ligatures w14:val="none"/>
              </w:rPr>
            </w:pPr>
            <w:r w:rsidRPr="00932DB9">
              <w:rPr>
                <w:rFonts w:ascii="Calibri" w:eastAsia="Aptos" w:hAnsi="Calibri" w:cs="Calibri"/>
                <w:color w:val="000000"/>
                <w:kern w:val="0"/>
                <w:lang w:val="de-DE"/>
                <w14:ligatures w14:val="none"/>
              </w:rPr>
              <w:t>Altitude a.s.l</w:t>
            </w:r>
          </w:p>
        </w:tc>
        <w:tc>
          <w:tcPr>
            <w:tcW w:w="3680" w:type="dxa"/>
            <w:shd w:val="clear" w:color="auto" w:fill="E2F3F0"/>
            <w:tcMar>
              <w:top w:w="0" w:type="dxa"/>
              <w:left w:w="108" w:type="dxa"/>
              <w:bottom w:w="0" w:type="dxa"/>
              <w:right w:w="108" w:type="dxa"/>
            </w:tcMar>
            <w:vAlign w:val="center"/>
          </w:tcPr>
          <w:p w14:paraId="3E4C71B2" w14:textId="678A0469" w:rsidR="00932DB9" w:rsidRPr="001E25F9" w:rsidRDefault="00932DB9" w:rsidP="00F605D1">
            <w:pPr>
              <w:spacing w:after="0" w:line="240" w:lineRule="auto"/>
              <w:rPr>
                <w:rFonts w:ascii="Calibri" w:eastAsia="Aptos" w:hAnsi="Calibri" w:cs="Calibri"/>
                <w:color w:val="000000"/>
                <w:kern w:val="0"/>
                <w14:ligatures w14:val="none"/>
              </w:rPr>
            </w:pPr>
            <w:r>
              <w:rPr>
                <w:rFonts w:ascii="Calibri" w:eastAsia="Aptos" w:hAnsi="Calibri" w:cs="Calibri"/>
                <w:color w:val="000000"/>
                <w:kern w:val="0"/>
                <w14:ligatures w14:val="none"/>
              </w:rPr>
              <w:t>200 m</w:t>
            </w:r>
          </w:p>
        </w:tc>
      </w:tr>
      <w:tr w:rsidR="00932DB9" w14:paraId="4AD76392" w14:textId="77777777" w:rsidTr="10FCEC34">
        <w:trPr>
          <w:trHeight w:val="288"/>
        </w:trPr>
        <w:tc>
          <w:tcPr>
            <w:tcW w:w="2980" w:type="dxa"/>
            <w:tcBorders>
              <w:top w:val="nil"/>
              <w:left w:val="nil"/>
              <w:bottom w:val="nil"/>
              <w:right w:val="single" w:sz="8" w:space="0" w:color="71C3B8"/>
            </w:tcBorders>
            <w:shd w:val="clear" w:color="auto" w:fill="FFFFFF" w:themeFill="background1"/>
            <w:tcMar>
              <w:top w:w="0" w:type="dxa"/>
              <w:left w:w="108" w:type="dxa"/>
              <w:bottom w:w="0" w:type="dxa"/>
              <w:right w:w="108" w:type="dxa"/>
            </w:tcMar>
            <w:vAlign w:val="center"/>
          </w:tcPr>
          <w:p w14:paraId="7EBA8E91" w14:textId="7B7EA224" w:rsidR="00932DB9" w:rsidRPr="00FF24E5" w:rsidRDefault="00932DB9" w:rsidP="00F605D1">
            <w:pPr>
              <w:spacing w:after="0" w:line="240" w:lineRule="auto"/>
              <w:jc w:val="right"/>
              <w:rPr>
                <w:rFonts w:ascii="Calibri" w:eastAsia="Aptos" w:hAnsi="Calibri" w:cs="Calibri"/>
                <w:color w:val="000000"/>
                <w:kern w:val="0"/>
                <w:lang w:val="de-DE"/>
                <w14:ligatures w14:val="none"/>
              </w:rPr>
            </w:pPr>
            <w:r w:rsidRPr="00932DB9">
              <w:rPr>
                <w:rFonts w:ascii="Calibri" w:eastAsia="Aptos" w:hAnsi="Calibri" w:cs="Calibri"/>
                <w:color w:val="000000"/>
                <w:kern w:val="0"/>
                <w14:ligatures w14:val="none"/>
              </w:rPr>
              <w:t>Location</w:t>
            </w:r>
          </w:p>
        </w:tc>
        <w:tc>
          <w:tcPr>
            <w:tcW w:w="3680" w:type="dxa"/>
            <w:shd w:val="clear" w:color="auto" w:fill="E2F3F0"/>
            <w:tcMar>
              <w:top w:w="0" w:type="dxa"/>
              <w:left w:w="108" w:type="dxa"/>
              <w:bottom w:w="0" w:type="dxa"/>
              <w:right w:w="108" w:type="dxa"/>
            </w:tcMar>
            <w:vAlign w:val="center"/>
          </w:tcPr>
          <w:p w14:paraId="55FC4B08" w14:textId="673C744B" w:rsidR="00932DB9" w:rsidRPr="00932DB9" w:rsidRDefault="00932DB9" w:rsidP="00F605D1">
            <w:pPr>
              <w:spacing w:after="0" w:line="240" w:lineRule="auto"/>
              <w:rPr>
                <w:rFonts w:ascii="Calibri" w:eastAsia="Aptos" w:hAnsi="Calibri" w:cs="Calibri"/>
                <w:color w:val="000000"/>
                <w:kern w:val="0"/>
                <w14:ligatures w14:val="none"/>
              </w:rPr>
            </w:pPr>
            <w:r w:rsidRPr="00932DB9">
              <w:rPr>
                <w:rFonts w:ascii="Calibri" w:eastAsia="Aptos" w:hAnsi="Calibri" w:cs="Calibri"/>
                <w:color w:val="000000"/>
                <w:kern w:val="0"/>
                <w14:ligatures w14:val="none"/>
              </w:rPr>
              <w:t>Inland</w:t>
            </w:r>
            <w:r w:rsidR="00BC0265">
              <w:rPr>
                <w:rFonts w:ascii="Calibri" w:eastAsia="Aptos" w:hAnsi="Calibri" w:cs="Calibri"/>
                <w:color w:val="000000"/>
                <w:kern w:val="0"/>
                <w14:ligatures w14:val="none"/>
              </w:rPr>
              <w:t xml:space="preserve">: </w:t>
            </w:r>
            <w:r w:rsidR="006547AA">
              <w:rPr>
                <w:rFonts w:ascii="Calibri" w:eastAsia="Aptos" w:hAnsi="Calibri" w:cs="Calibri"/>
                <w:color w:val="000000"/>
                <w:kern w:val="0"/>
                <w14:ligatures w14:val="none"/>
              </w:rPr>
              <w:t>1</w:t>
            </w:r>
            <w:r w:rsidRPr="00932DB9">
              <w:rPr>
                <w:rFonts w:ascii="Calibri" w:eastAsia="Aptos" w:hAnsi="Calibri" w:cs="Calibri"/>
                <w:color w:val="000000"/>
                <w:kern w:val="0"/>
                <w14:ligatures w14:val="none"/>
              </w:rPr>
              <w:t xml:space="preserve">30 km from the </w:t>
            </w:r>
            <w:r w:rsidR="003B00AD">
              <w:rPr>
                <w:rFonts w:ascii="Calibri" w:eastAsia="Aptos" w:hAnsi="Calibri" w:cs="Calibri"/>
                <w:color w:val="000000"/>
                <w:kern w:val="0"/>
                <w14:ligatures w14:val="none"/>
              </w:rPr>
              <w:t>Baltic Sea</w:t>
            </w:r>
          </w:p>
        </w:tc>
      </w:tr>
      <w:tr w:rsidR="00BC0265" w:rsidRPr="00BC0265" w14:paraId="7AC78ECF" w14:textId="77777777" w:rsidTr="10FCEC34">
        <w:trPr>
          <w:trHeight w:val="288"/>
        </w:trPr>
        <w:tc>
          <w:tcPr>
            <w:tcW w:w="2980" w:type="dxa"/>
            <w:tcBorders>
              <w:top w:val="nil"/>
              <w:left w:val="nil"/>
              <w:bottom w:val="nil"/>
              <w:right w:val="single" w:sz="8" w:space="0" w:color="71C3B8"/>
            </w:tcBorders>
            <w:shd w:val="clear" w:color="auto" w:fill="FFFFFF" w:themeFill="background1"/>
            <w:tcMar>
              <w:top w:w="0" w:type="dxa"/>
              <w:left w:w="108" w:type="dxa"/>
              <w:bottom w:w="0" w:type="dxa"/>
              <w:right w:w="108" w:type="dxa"/>
            </w:tcMar>
            <w:vAlign w:val="center"/>
            <w:hideMark/>
          </w:tcPr>
          <w:p w14:paraId="4413C6EF" w14:textId="66C055C3" w:rsidR="00BC0265" w:rsidRPr="00FF24E5" w:rsidRDefault="00BC0265" w:rsidP="00BC0265">
            <w:pPr>
              <w:spacing w:after="0" w:line="240" w:lineRule="auto"/>
              <w:jc w:val="right"/>
              <w:rPr>
                <w:rFonts w:ascii="Calibri" w:eastAsia="Aptos" w:hAnsi="Calibri" w:cs="Calibri"/>
                <w:color w:val="000000"/>
                <w:kern w:val="0"/>
                <w14:ligatures w14:val="none"/>
              </w:rPr>
            </w:pPr>
            <w:r w:rsidRPr="00932DB9">
              <w:rPr>
                <w:rFonts w:ascii="Calibri" w:eastAsia="Aptos" w:hAnsi="Calibri" w:cs="Calibri"/>
                <w:color w:val="000000"/>
                <w:kern w:val="0"/>
                <w14:ligatures w14:val="none"/>
              </w:rPr>
              <w:t>Corrosion protection class</w:t>
            </w:r>
          </w:p>
        </w:tc>
        <w:tc>
          <w:tcPr>
            <w:tcW w:w="3680" w:type="dxa"/>
            <w:shd w:val="clear" w:color="auto" w:fill="E2F3F0"/>
            <w:tcMar>
              <w:top w:w="0" w:type="dxa"/>
              <w:left w:w="108" w:type="dxa"/>
              <w:bottom w:w="0" w:type="dxa"/>
              <w:right w:w="108" w:type="dxa"/>
            </w:tcMar>
            <w:vAlign w:val="center"/>
          </w:tcPr>
          <w:p w14:paraId="45C39212" w14:textId="7F81AD1C" w:rsidR="00BC0265" w:rsidRPr="00BC0265" w:rsidRDefault="00BC0265" w:rsidP="00BC0265">
            <w:pPr>
              <w:spacing w:after="0" w:line="240" w:lineRule="auto"/>
              <w:rPr>
                <w:rFonts w:ascii="Calibri" w:eastAsia="Aptos" w:hAnsi="Calibri" w:cs="Calibri"/>
                <w:color w:val="000000"/>
                <w:kern w:val="0"/>
                <w14:ligatures w14:val="none"/>
              </w:rPr>
            </w:pPr>
            <w:r>
              <w:rPr>
                <w:rFonts w:ascii="Calibri" w:eastAsia="Aptos" w:hAnsi="Calibri" w:cs="Calibri"/>
                <w:color w:val="000000"/>
                <w:kern w:val="0"/>
                <w14:ligatures w14:val="none"/>
              </w:rPr>
              <w:t xml:space="preserve">Minimum </w:t>
            </w:r>
            <w:r w:rsidR="1115F89A">
              <w:rPr>
                <w:rFonts w:ascii="Calibri" w:eastAsia="Aptos" w:hAnsi="Calibri" w:cs="Calibri"/>
                <w:color w:val="000000"/>
                <w:kern w:val="0"/>
                <w14:ligatures w14:val="none"/>
              </w:rPr>
              <w:t xml:space="preserve">C5M or </w:t>
            </w:r>
            <w:r w:rsidR="00426B14">
              <w:rPr>
                <w:rFonts w:ascii="Calibri" w:eastAsia="Aptos" w:hAnsi="Calibri" w:cs="Calibri"/>
                <w:color w:val="000000"/>
                <w:kern w:val="0"/>
                <w14:ligatures w14:val="none"/>
              </w:rPr>
              <w:t>according</w:t>
            </w:r>
            <w:r w:rsidR="1115F89A">
              <w:rPr>
                <w:rFonts w:ascii="Calibri" w:eastAsia="Aptos" w:hAnsi="Calibri" w:cs="Calibri"/>
                <w:color w:val="000000"/>
                <w:kern w:val="0"/>
                <w14:ligatures w14:val="none"/>
              </w:rPr>
              <w:t xml:space="preserve"> to local Environment</w:t>
            </w:r>
            <w:r w:rsidR="00513086">
              <w:rPr>
                <w:rFonts w:ascii="Calibri" w:eastAsia="Aptos" w:hAnsi="Calibri" w:cs="Calibri"/>
                <w:color w:val="000000"/>
                <w:kern w:val="0"/>
                <w14:ligatures w14:val="none"/>
              </w:rPr>
              <w:t xml:space="preserve"> conditions</w:t>
            </w:r>
          </w:p>
        </w:tc>
      </w:tr>
    </w:tbl>
    <w:p w14:paraId="3EC657CD" w14:textId="77777777" w:rsidR="001E25F9" w:rsidRPr="00FF24E5" w:rsidRDefault="001E25F9" w:rsidP="001E25F9">
      <w:pPr>
        <w:spacing w:after="0" w:line="240" w:lineRule="auto"/>
        <w:rPr>
          <w:rFonts w:ascii="Calibri" w:eastAsia="Aptos" w:hAnsi="Calibri" w:cs="Calibri"/>
          <w:kern w:val="0"/>
          <w:lang w:eastAsia="zh-TW"/>
          <w14:ligatures w14:val="none"/>
        </w:rPr>
      </w:pPr>
    </w:p>
    <w:p w14:paraId="7DC2834B" w14:textId="3DD35392" w:rsidR="00953138" w:rsidRPr="008B6A6D" w:rsidRDefault="00953138" w:rsidP="008B6A6D">
      <w:pPr>
        <w:pStyle w:val="ListParagraph"/>
        <w:numPr>
          <w:ilvl w:val="0"/>
          <w:numId w:val="18"/>
        </w:numPr>
        <w:rPr>
          <w:rFonts w:ascii="Avenir Next LT Pro" w:eastAsia="Aptos" w:hAnsi="Avenir Next LT Pro" w:cs="Aptos"/>
          <w:b/>
          <w:bCs/>
          <w:color w:val="156082"/>
          <w:spacing w:val="-3"/>
          <w:kern w:val="0"/>
          <w:sz w:val="28"/>
          <w:szCs w:val="28"/>
          <w:lang w:eastAsia="zh-CN"/>
          <w14:ligatures w14:val="none"/>
        </w:rPr>
      </w:pPr>
      <w:bookmarkStart w:id="9" w:name="_Toc171431162"/>
      <w:r w:rsidRPr="008B6A6D">
        <w:rPr>
          <w:rFonts w:ascii="Avenir Next LT Pro" w:eastAsia="Aptos" w:hAnsi="Avenir Next LT Pro" w:cs="Aptos"/>
          <w:b/>
          <w:bCs/>
          <w:color w:val="156082"/>
          <w:spacing w:val="-3"/>
          <w:kern w:val="0"/>
          <w:sz w:val="28"/>
          <w:szCs w:val="28"/>
          <w:lang w:eastAsia="zh-CN"/>
          <w14:ligatures w14:val="none"/>
        </w:rPr>
        <w:t>Scope of services</w:t>
      </w:r>
    </w:p>
    <w:p w14:paraId="2A33CF81" w14:textId="6AA73DA2" w:rsidR="00953138" w:rsidRPr="00054432" w:rsidRDefault="00953138" w:rsidP="00C76D8D">
      <w:pPr>
        <w:numPr>
          <w:ilvl w:val="0"/>
          <w:numId w:val="4"/>
        </w:numPr>
        <w:jc w:val="both"/>
        <w:rPr>
          <w:lang w:val="en-GB"/>
        </w:rPr>
      </w:pPr>
      <w:r w:rsidRPr="10FCEC34">
        <w:rPr>
          <w:lang w:val="en-GB"/>
        </w:rPr>
        <w:t xml:space="preserve">Supply of Materials – DDP to site </w:t>
      </w:r>
      <w:r w:rsidR="00C46F26">
        <w:rPr>
          <w:lang w:val="en-GB"/>
        </w:rPr>
        <w:t>required</w:t>
      </w:r>
      <w:r w:rsidRPr="10FCEC34">
        <w:rPr>
          <w:lang w:val="en-GB"/>
        </w:rPr>
        <w:t>:</w:t>
      </w:r>
    </w:p>
    <w:p w14:paraId="20AC5A10" w14:textId="77777777" w:rsidR="00953138" w:rsidRPr="00054432" w:rsidRDefault="00953138" w:rsidP="00C76D8D">
      <w:pPr>
        <w:numPr>
          <w:ilvl w:val="1"/>
          <w:numId w:val="4"/>
        </w:numPr>
        <w:jc w:val="both"/>
        <w:rPr>
          <w:lang w:val="en-GB"/>
        </w:rPr>
      </w:pPr>
      <w:r w:rsidRPr="10FCEC34">
        <w:rPr>
          <w:lang w:val="en-GB"/>
        </w:rPr>
        <w:t>Battery Energy Storage Systems: Battery enclosure, racks, modules and cooling systems</w:t>
      </w:r>
    </w:p>
    <w:p w14:paraId="7768146B" w14:textId="6191979E" w:rsidR="5CB63680" w:rsidRDefault="5CB63680" w:rsidP="7449792B">
      <w:pPr>
        <w:numPr>
          <w:ilvl w:val="1"/>
          <w:numId w:val="4"/>
        </w:numPr>
        <w:jc w:val="both"/>
        <w:rPr>
          <w:lang w:val="en-GB"/>
        </w:rPr>
      </w:pPr>
      <w:r w:rsidRPr="7449792B">
        <w:rPr>
          <w:lang w:val="en-GB"/>
        </w:rPr>
        <w:t>Converters</w:t>
      </w:r>
      <w:r w:rsidR="001254F9">
        <w:rPr>
          <w:lang w:val="en-GB"/>
        </w:rPr>
        <w:t>/inverters</w:t>
      </w:r>
    </w:p>
    <w:p w14:paraId="5E1796C7" w14:textId="608F992C" w:rsidR="00F5069E" w:rsidRDefault="00ED52D9" w:rsidP="7449792B">
      <w:pPr>
        <w:numPr>
          <w:ilvl w:val="1"/>
          <w:numId w:val="4"/>
        </w:numPr>
        <w:jc w:val="both"/>
        <w:rPr>
          <w:lang w:val="en-GB"/>
        </w:rPr>
      </w:pPr>
      <w:r>
        <w:rPr>
          <w:lang w:val="en-GB"/>
        </w:rPr>
        <w:t>Communication Modules</w:t>
      </w:r>
    </w:p>
    <w:p w14:paraId="3A8CF65B" w14:textId="77777777" w:rsidR="00953138" w:rsidRPr="00054432" w:rsidRDefault="00953138" w:rsidP="00C76D8D">
      <w:pPr>
        <w:numPr>
          <w:ilvl w:val="1"/>
          <w:numId w:val="4"/>
        </w:numPr>
        <w:jc w:val="both"/>
        <w:rPr>
          <w:lang w:val="en-GB"/>
        </w:rPr>
      </w:pPr>
      <w:r w:rsidRPr="10FCEC34">
        <w:rPr>
          <w:lang w:val="en-GB"/>
        </w:rPr>
        <w:t>Fire detection and suppression systems inside containers</w:t>
      </w:r>
    </w:p>
    <w:p w14:paraId="4CD3CF6F" w14:textId="77777777" w:rsidR="00953138" w:rsidRPr="00054432" w:rsidRDefault="00953138" w:rsidP="00C76D8D">
      <w:pPr>
        <w:numPr>
          <w:ilvl w:val="1"/>
          <w:numId w:val="4"/>
        </w:numPr>
        <w:jc w:val="both"/>
        <w:rPr>
          <w:lang w:val="en-GB"/>
        </w:rPr>
      </w:pPr>
      <w:r w:rsidRPr="10FCEC34">
        <w:rPr>
          <w:lang w:val="en-GB"/>
        </w:rPr>
        <w:t>AC and DC – LV circuit breakers and switch gear</w:t>
      </w:r>
    </w:p>
    <w:p w14:paraId="1BEF4BC5" w14:textId="0E8CBEAE" w:rsidR="064BE387" w:rsidRDefault="2ED6B77D" w:rsidP="7449792B">
      <w:pPr>
        <w:numPr>
          <w:ilvl w:val="1"/>
          <w:numId w:val="4"/>
        </w:numPr>
        <w:jc w:val="both"/>
        <w:rPr>
          <w:lang w:val="en-GB"/>
        </w:rPr>
      </w:pPr>
      <w:r w:rsidRPr="1652F568">
        <w:rPr>
          <w:lang w:val="en-GB"/>
        </w:rPr>
        <w:t>Black start ability</w:t>
      </w:r>
      <w:r w:rsidR="1E842ED6" w:rsidRPr="1652F568">
        <w:rPr>
          <w:lang w:val="en-GB"/>
        </w:rPr>
        <w:t xml:space="preserve"> </w:t>
      </w:r>
      <w:r w:rsidR="00A71CB4">
        <w:rPr>
          <w:lang w:val="en-GB"/>
        </w:rPr>
        <w:t>(</w:t>
      </w:r>
      <w:r w:rsidR="1E842ED6" w:rsidRPr="1652F568">
        <w:rPr>
          <w:lang w:val="en-GB"/>
        </w:rPr>
        <w:t>optional</w:t>
      </w:r>
      <w:r w:rsidR="00A71CB4">
        <w:rPr>
          <w:lang w:val="en-GB"/>
        </w:rPr>
        <w:t>)</w:t>
      </w:r>
    </w:p>
    <w:p w14:paraId="74C9AF03" w14:textId="77777777" w:rsidR="00953138" w:rsidRPr="00054432" w:rsidRDefault="00953138" w:rsidP="00C76D8D">
      <w:pPr>
        <w:numPr>
          <w:ilvl w:val="1"/>
          <w:numId w:val="4"/>
        </w:numPr>
        <w:jc w:val="both"/>
        <w:rPr>
          <w:lang w:val="en-GB"/>
        </w:rPr>
      </w:pPr>
      <w:r w:rsidRPr="10FCEC34">
        <w:rPr>
          <w:lang w:val="en-GB"/>
        </w:rPr>
        <w:t>MV skids including PCS, MV/LV step-up transformer</w:t>
      </w:r>
    </w:p>
    <w:p w14:paraId="784BF02F" w14:textId="77777777" w:rsidR="00953138" w:rsidRPr="00054432" w:rsidRDefault="00953138" w:rsidP="00C76D8D">
      <w:pPr>
        <w:numPr>
          <w:ilvl w:val="1"/>
          <w:numId w:val="4"/>
        </w:numPr>
        <w:jc w:val="both"/>
        <w:rPr>
          <w:lang w:val="en-GB"/>
        </w:rPr>
      </w:pPr>
      <w:r w:rsidRPr="10FCEC34">
        <w:rPr>
          <w:lang w:val="en-GB"/>
        </w:rPr>
        <w:t xml:space="preserve">Ancillary material </w:t>
      </w:r>
    </w:p>
    <w:p w14:paraId="144A4312" w14:textId="77777777" w:rsidR="00953138" w:rsidRDefault="00953138" w:rsidP="00C76D8D">
      <w:pPr>
        <w:numPr>
          <w:ilvl w:val="1"/>
          <w:numId w:val="4"/>
        </w:numPr>
        <w:jc w:val="both"/>
        <w:rPr>
          <w:lang w:val="en-GB"/>
        </w:rPr>
      </w:pPr>
      <w:r w:rsidRPr="10FCEC34">
        <w:rPr>
          <w:lang w:val="en-GB"/>
        </w:rPr>
        <w:t>Provide O&amp;M manuals and training – for respective equipment</w:t>
      </w:r>
    </w:p>
    <w:p w14:paraId="23AC167C" w14:textId="294EE2F3" w:rsidR="00445F93" w:rsidRDefault="00445F93" w:rsidP="00C76D8D">
      <w:pPr>
        <w:numPr>
          <w:ilvl w:val="1"/>
          <w:numId w:val="4"/>
        </w:numPr>
        <w:jc w:val="both"/>
        <w:rPr>
          <w:lang w:val="en-GB"/>
        </w:rPr>
      </w:pPr>
      <w:r>
        <w:rPr>
          <w:lang w:val="en-GB"/>
        </w:rPr>
        <w:t>Plant Power Controller (PPC) for grid-compliant real time control of plant output</w:t>
      </w:r>
    </w:p>
    <w:p w14:paraId="61C6C49D" w14:textId="525DCEBC" w:rsidR="00ED4C55" w:rsidRPr="00054432" w:rsidRDefault="00ED4C55" w:rsidP="00C76D8D">
      <w:pPr>
        <w:numPr>
          <w:ilvl w:val="1"/>
          <w:numId w:val="4"/>
        </w:numPr>
        <w:jc w:val="both"/>
        <w:rPr>
          <w:lang w:val="en-GB"/>
        </w:rPr>
      </w:pPr>
      <w:r>
        <w:rPr>
          <w:lang w:val="en-GB"/>
        </w:rPr>
        <w:lastRenderedPageBreak/>
        <w:t>Energy Management System (EMS) for optimization of energy flows and plant dispatch strategy</w:t>
      </w:r>
    </w:p>
    <w:p w14:paraId="7FFBD716" w14:textId="77777777" w:rsidR="00953138" w:rsidRPr="00054432" w:rsidRDefault="00953138" w:rsidP="00C76D8D">
      <w:pPr>
        <w:numPr>
          <w:ilvl w:val="0"/>
          <w:numId w:val="4"/>
        </w:numPr>
        <w:jc w:val="both"/>
        <w:rPr>
          <w:lang w:val="en-GB"/>
        </w:rPr>
      </w:pPr>
      <w:r w:rsidRPr="10FCEC34">
        <w:rPr>
          <w:lang w:val="en-GB"/>
        </w:rPr>
        <w:t xml:space="preserve">Support Development works and BOP works including concept site layout, permits, civil design, electrical design, Control and network system schematic design, </w:t>
      </w:r>
    </w:p>
    <w:p w14:paraId="7B77671E" w14:textId="77777777" w:rsidR="00953138" w:rsidRPr="00054432" w:rsidRDefault="00953138" w:rsidP="00C76D8D">
      <w:pPr>
        <w:numPr>
          <w:ilvl w:val="0"/>
          <w:numId w:val="4"/>
        </w:numPr>
        <w:jc w:val="both"/>
        <w:rPr>
          <w:lang w:val="en-GB"/>
        </w:rPr>
      </w:pPr>
      <w:r w:rsidRPr="10FCEC34">
        <w:rPr>
          <w:lang w:val="en-GB"/>
        </w:rPr>
        <w:t>Provide site technical assistance during installation of Equipment, anchoring of units, fire detection systems</w:t>
      </w:r>
    </w:p>
    <w:p w14:paraId="2EBBDB1E" w14:textId="77777777" w:rsidR="00953138" w:rsidRPr="00054432" w:rsidRDefault="00953138" w:rsidP="00C76D8D">
      <w:pPr>
        <w:numPr>
          <w:ilvl w:val="0"/>
          <w:numId w:val="4"/>
        </w:numPr>
        <w:jc w:val="both"/>
        <w:rPr>
          <w:lang w:val="en-GB"/>
        </w:rPr>
      </w:pPr>
      <w:r w:rsidRPr="10FCEC34">
        <w:rPr>
          <w:lang w:val="en-GB"/>
        </w:rPr>
        <w:t xml:space="preserve">Testing and commissioning: </w:t>
      </w:r>
    </w:p>
    <w:p w14:paraId="77D1D30E" w14:textId="77777777" w:rsidR="00953138" w:rsidRPr="00054432" w:rsidRDefault="00953138" w:rsidP="00C76D8D">
      <w:pPr>
        <w:numPr>
          <w:ilvl w:val="1"/>
          <w:numId w:val="4"/>
        </w:numPr>
        <w:jc w:val="both"/>
        <w:rPr>
          <w:lang w:val="en-GB"/>
        </w:rPr>
      </w:pPr>
      <w:r w:rsidRPr="10FCEC34">
        <w:rPr>
          <w:lang w:val="en-GB"/>
        </w:rPr>
        <w:t xml:space="preserve">Support EPCM with overall plan system commissioning plan </w:t>
      </w:r>
    </w:p>
    <w:p w14:paraId="479AB307" w14:textId="77777777" w:rsidR="00953138" w:rsidRPr="00054432" w:rsidRDefault="00953138" w:rsidP="00C76D8D">
      <w:pPr>
        <w:numPr>
          <w:ilvl w:val="1"/>
          <w:numId w:val="4"/>
        </w:numPr>
        <w:jc w:val="both"/>
        <w:rPr>
          <w:lang w:val="en-GB"/>
        </w:rPr>
      </w:pPr>
      <w:r w:rsidRPr="10FCEC34">
        <w:rPr>
          <w:lang w:val="en-GB"/>
        </w:rPr>
        <w:t>Develop testing and commissioning procedures for BESS including battery units, PCSs, fire suppression systems, MV/LV transformer, RMUs, EMS and all associated control, communication of the power ancillaries</w:t>
      </w:r>
    </w:p>
    <w:p w14:paraId="14D2DF99" w14:textId="77777777" w:rsidR="00953138" w:rsidRPr="00054432" w:rsidRDefault="00953138" w:rsidP="00C76D8D">
      <w:pPr>
        <w:numPr>
          <w:ilvl w:val="1"/>
          <w:numId w:val="4"/>
        </w:numPr>
        <w:jc w:val="both"/>
        <w:rPr>
          <w:lang w:val="en-GB"/>
        </w:rPr>
      </w:pPr>
      <w:r w:rsidRPr="10FCEC34">
        <w:rPr>
          <w:lang w:val="en-GB"/>
        </w:rPr>
        <w:t>Start-up procedures for BESS</w:t>
      </w:r>
    </w:p>
    <w:p w14:paraId="78D8B211" w14:textId="77777777" w:rsidR="00953138" w:rsidRPr="00054432" w:rsidRDefault="00953138" w:rsidP="00C76D8D">
      <w:pPr>
        <w:numPr>
          <w:ilvl w:val="1"/>
          <w:numId w:val="4"/>
        </w:numPr>
        <w:jc w:val="both"/>
        <w:rPr>
          <w:lang w:val="en-GB"/>
        </w:rPr>
      </w:pPr>
      <w:r w:rsidRPr="10FCEC34">
        <w:rPr>
          <w:lang w:val="en-GB"/>
        </w:rPr>
        <w:t>Factory Acceptance Test, pre shipment test, Site Acceptance Test (For respective equipment)</w:t>
      </w:r>
    </w:p>
    <w:p w14:paraId="2C342CF0" w14:textId="1F59962E" w:rsidR="00953138" w:rsidRPr="00054432" w:rsidRDefault="00953138" w:rsidP="00C76D8D">
      <w:pPr>
        <w:numPr>
          <w:ilvl w:val="1"/>
          <w:numId w:val="4"/>
        </w:numPr>
        <w:jc w:val="both"/>
        <w:rPr>
          <w:lang w:val="en-GB"/>
        </w:rPr>
      </w:pPr>
      <w:r w:rsidRPr="10FCEC34">
        <w:rPr>
          <w:lang w:val="en-GB"/>
        </w:rPr>
        <w:t>Commissioning tests and prequalification tests required by TSO</w:t>
      </w:r>
      <w:r w:rsidR="01B8C5F5" w:rsidRPr="7449792B">
        <w:rPr>
          <w:lang w:val="en-GB"/>
        </w:rPr>
        <w:t xml:space="preserve"> </w:t>
      </w:r>
    </w:p>
    <w:p w14:paraId="68ACC947" w14:textId="77777777" w:rsidR="00953138" w:rsidRPr="00054432" w:rsidRDefault="00953138" w:rsidP="00C76D8D">
      <w:pPr>
        <w:numPr>
          <w:ilvl w:val="1"/>
          <w:numId w:val="4"/>
        </w:numPr>
        <w:jc w:val="both"/>
        <w:rPr>
          <w:lang w:val="en-GB"/>
        </w:rPr>
      </w:pPr>
      <w:r w:rsidRPr="10FCEC34">
        <w:rPr>
          <w:lang w:val="en-GB"/>
        </w:rPr>
        <w:t xml:space="preserve">Handover </w:t>
      </w:r>
    </w:p>
    <w:p w14:paraId="47B29DAE" w14:textId="628A27A8" w:rsidR="00953138" w:rsidRPr="00BC273D" w:rsidRDefault="00953138" w:rsidP="00C76D8D">
      <w:pPr>
        <w:numPr>
          <w:ilvl w:val="0"/>
          <w:numId w:val="4"/>
        </w:numPr>
        <w:jc w:val="both"/>
        <w:rPr>
          <w:lang w:val="en-GB"/>
        </w:rPr>
      </w:pPr>
      <w:r w:rsidRPr="00032E88">
        <w:rPr>
          <w:lang w:val="en-GB"/>
        </w:rPr>
        <w:t xml:space="preserve">O&amp;M (to be included) – </w:t>
      </w:r>
      <w:r w:rsidRPr="00BC273D">
        <w:rPr>
          <w:lang w:val="en-GB"/>
        </w:rPr>
        <w:t xml:space="preserve">Minimum of </w:t>
      </w:r>
      <w:r w:rsidR="006E157B">
        <w:rPr>
          <w:lang w:val="en-GB"/>
        </w:rPr>
        <w:t>19</w:t>
      </w:r>
      <w:r w:rsidR="006E157B" w:rsidRPr="00BC273D">
        <w:rPr>
          <w:lang w:val="en-GB"/>
        </w:rPr>
        <w:t xml:space="preserve"> </w:t>
      </w:r>
      <w:r w:rsidRPr="00BC273D">
        <w:rPr>
          <w:lang w:val="en-GB"/>
        </w:rPr>
        <w:t xml:space="preserve">years </w:t>
      </w:r>
    </w:p>
    <w:p w14:paraId="2A5803D7" w14:textId="77777777" w:rsidR="00953138" w:rsidRPr="00054432" w:rsidRDefault="00953138" w:rsidP="00C76D8D">
      <w:pPr>
        <w:numPr>
          <w:ilvl w:val="1"/>
          <w:numId w:val="4"/>
        </w:numPr>
        <w:jc w:val="both"/>
        <w:rPr>
          <w:lang w:val="en-GB"/>
        </w:rPr>
      </w:pPr>
      <w:r w:rsidRPr="10FCEC34">
        <w:rPr>
          <w:lang w:val="en-GB"/>
        </w:rPr>
        <w:t>Periodic onsite/offsite preventative maintenance</w:t>
      </w:r>
    </w:p>
    <w:p w14:paraId="0D980A9A" w14:textId="77777777" w:rsidR="00953138" w:rsidRPr="00054432" w:rsidRDefault="00953138" w:rsidP="00C76D8D">
      <w:pPr>
        <w:numPr>
          <w:ilvl w:val="1"/>
          <w:numId w:val="4"/>
        </w:numPr>
        <w:jc w:val="both"/>
        <w:rPr>
          <w:lang w:val="en-GB"/>
        </w:rPr>
      </w:pPr>
      <w:r w:rsidRPr="10FCEC34">
        <w:rPr>
          <w:lang w:val="en-GB"/>
        </w:rPr>
        <w:t>Performance Guarantee tests</w:t>
      </w:r>
    </w:p>
    <w:p w14:paraId="1CDB71F7" w14:textId="77777777" w:rsidR="00953138" w:rsidRPr="00054432" w:rsidRDefault="00953138" w:rsidP="00C76D8D">
      <w:pPr>
        <w:numPr>
          <w:ilvl w:val="1"/>
          <w:numId w:val="4"/>
        </w:numPr>
        <w:jc w:val="both"/>
        <w:rPr>
          <w:lang w:val="en-GB"/>
        </w:rPr>
      </w:pPr>
      <w:r w:rsidRPr="10FCEC34">
        <w:rPr>
          <w:lang w:val="en-GB"/>
        </w:rPr>
        <w:t xml:space="preserve">Spare parts management </w:t>
      </w:r>
    </w:p>
    <w:p w14:paraId="29AFD72A" w14:textId="77777777" w:rsidR="00953138" w:rsidRPr="00054432" w:rsidRDefault="00953138" w:rsidP="00C76D8D">
      <w:pPr>
        <w:numPr>
          <w:ilvl w:val="1"/>
          <w:numId w:val="4"/>
        </w:numPr>
        <w:jc w:val="both"/>
        <w:rPr>
          <w:lang w:val="en-GB"/>
        </w:rPr>
      </w:pPr>
      <w:r w:rsidRPr="10FCEC34">
        <w:rPr>
          <w:lang w:val="en-GB"/>
        </w:rPr>
        <w:t xml:space="preserve">Reporting </w:t>
      </w:r>
    </w:p>
    <w:p w14:paraId="59DE3634" w14:textId="77777777" w:rsidR="00953138" w:rsidRPr="00054432" w:rsidRDefault="00953138" w:rsidP="00C76D8D">
      <w:pPr>
        <w:numPr>
          <w:ilvl w:val="1"/>
          <w:numId w:val="4"/>
        </w:numPr>
        <w:jc w:val="both"/>
        <w:rPr>
          <w:lang w:val="en-GB"/>
        </w:rPr>
      </w:pPr>
      <w:r w:rsidRPr="10FCEC34">
        <w:rPr>
          <w:lang w:val="en-GB"/>
        </w:rPr>
        <w:t xml:space="preserve">24/7 Monitoring </w:t>
      </w:r>
    </w:p>
    <w:p w14:paraId="3CD261D3" w14:textId="77777777" w:rsidR="00953138" w:rsidRPr="00054432" w:rsidRDefault="00953138" w:rsidP="00C76D8D">
      <w:pPr>
        <w:numPr>
          <w:ilvl w:val="1"/>
          <w:numId w:val="4"/>
        </w:numPr>
        <w:jc w:val="both"/>
        <w:rPr>
          <w:lang w:val="en-GB"/>
        </w:rPr>
      </w:pPr>
      <w:r w:rsidRPr="10FCEC34">
        <w:rPr>
          <w:lang w:val="en-GB"/>
        </w:rPr>
        <w:t>Recycling obligation</w:t>
      </w:r>
    </w:p>
    <w:p w14:paraId="6DFFBBEF" w14:textId="77777777" w:rsidR="00953138" w:rsidRDefault="00953138" w:rsidP="00C76D8D">
      <w:pPr>
        <w:numPr>
          <w:ilvl w:val="0"/>
          <w:numId w:val="4"/>
        </w:numPr>
        <w:jc w:val="both"/>
        <w:rPr>
          <w:lang w:val="en-GB"/>
        </w:rPr>
      </w:pPr>
      <w:r w:rsidRPr="10FCEC34">
        <w:rPr>
          <w:lang w:val="en-GB"/>
        </w:rPr>
        <w:t>Performance Requirements – can be shared (Active power, reactive power, usable energy capacity at POI, etc.,)</w:t>
      </w:r>
    </w:p>
    <w:p w14:paraId="2F0104A9" w14:textId="044CE688" w:rsidR="003B00AD" w:rsidRDefault="00CB1363" w:rsidP="00C76D8D">
      <w:pPr>
        <w:numPr>
          <w:ilvl w:val="0"/>
          <w:numId w:val="4"/>
        </w:numPr>
        <w:jc w:val="both"/>
        <w:rPr>
          <w:lang w:val="en-GB"/>
        </w:rPr>
      </w:pPr>
      <w:r w:rsidRPr="5949ABDC">
        <w:rPr>
          <w:lang w:val="en-GB"/>
        </w:rPr>
        <w:t xml:space="preserve">Energy density requirements: </w:t>
      </w:r>
      <w:r w:rsidR="007623A4" w:rsidRPr="5949ABDC">
        <w:rPr>
          <w:lang w:val="en-GB"/>
        </w:rPr>
        <w:t xml:space="preserve">5 MWh </w:t>
      </w:r>
      <w:r w:rsidR="001254F9">
        <w:rPr>
          <w:lang w:val="en-GB"/>
        </w:rPr>
        <w:t xml:space="preserve">installed capacity </w:t>
      </w:r>
      <w:r w:rsidR="007623A4" w:rsidRPr="5949ABDC">
        <w:rPr>
          <w:lang w:val="en-GB"/>
        </w:rPr>
        <w:t>or more inside a 20-feet container</w:t>
      </w:r>
    </w:p>
    <w:p w14:paraId="3BFFDC14" w14:textId="3A247BD9" w:rsidR="007623A4" w:rsidRDefault="007623A4" w:rsidP="00C76D8D">
      <w:pPr>
        <w:numPr>
          <w:ilvl w:val="0"/>
          <w:numId w:val="4"/>
        </w:numPr>
        <w:jc w:val="both"/>
        <w:rPr>
          <w:lang w:val="en-GB"/>
        </w:rPr>
      </w:pPr>
      <w:r w:rsidRPr="5949ABDC">
        <w:rPr>
          <w:lang w:val="en-GB"/>
        </w:rPr>
        <w:t xml:space="preserve">PCS system </w:t>
      </w:r>
      <w:r w:rsidR="5259AD14" w:rsidRPr="5949ABDC">
        <w:rPr>
          <w:lang w:val="en-GB"/>
        </w:rPr>
        <w:t>should</w:t>
      </w:r>
      <w:r w:rsidRPr="5949ABDC">
        <w:rPr>
          <w:lang w:val="en-GB"/>
        </w:rPr>
        <w:t xml:space="preserve"> be inside the container (DC-AC conversion)</w:t>
      </w:r>
      <w:r w:rsidR="001254F9">
        <w:rPr>
          <w:lang w:val="en-GB"/>
        </w:rPr>
        <w:t xml:space="preserve"> or supplied as a separate installation from container. </w:t>
      </w:r>
    </w:p>
    <w:p w14:paraId="299CE451" w14:textId="2E1FEB29" w:rsidR="0054151C" w:rsidRPr="00054432" w:rsidRDefault="00EC1DF0" w:rsidP="00C76D8D">
      <w:pPr>
        <w:numPr>
          <w:ilvl w:val="0"/>
          <w:numId w:val="4"/>
        </w:numPr>
        <w:jc w:val="both"/>
        <w:rPr>
          <w:lang w:val="en-GB"/>
        </w:rPr>
      </w:pPr>
      <w:r>
        <w:rPr>
          <w:lang w:val="en-GB"/>
        </w:rPr>
        <w:t>Compliant with the grid code and reactive power requirements</w:t>
      </w:r>
    </w:p>
    <w:p w14:paraId="06D9A954" w14:textId="77777777" w:rsidR="00953138" w:rsidRPr="00054432" w:rsidRDefault="00953138" w:rsidP="00C76D8D">
      <w:pPr>
        <w:numPr>
          <w:ilvl w:val="0"/>
          <w:numId w:val="4"/>
        </w:numPr>
        <w:jc w:val="both"/>
        <w:rPr>
          <w:lang w:val="en-GB"/>
        </w:rPr>
      </w:pPr>
      <w:r w:rsidRPr="10FCEC34">
        <w:rPr>
          <w:lang w:val="en-GB"/>
        </w:rPr>
        <w:t>Performance guarantees and Warranties:</w:t>
      </w:r>
    </w:p>
    <w:p w14:paraId="6741A566" w14:textId="65D2FD81" w:rsidR="00953138" w:rsidRPr="00054432" w:rsidRDefault="00953138" w:rsidP="00C76D8D">
      <w:pPr>
        <w:numPr>
          <w:ilvl w:val="1"/>
          <w:numId w:val="4"/>
        </w:numPr>
        <w:jc w:val="both"/>
        <w:rPr>
          <w:lang w:val="en-GB"/>
        </w:rPr>
      </w:pPr>
      <w:r w:rsidRPr="10FCEC34">
        <w:rPr>
          <w:lang w:val="en-GB"/>
        </w:rPr>
        <w:lastRenderedPageBreak/>
        <w:t xml:space="preserve">Capacity Guarantee based on usage profile – minimum </w:t>
      </w:r>
      <w:r w:rsidR="00CD2E12">
        <w:rPr>
          <w:lang w:val="en-GB"/>
        </w:rPr>
        <w:t>19</w:t>
      </w:r>
      <w:r w:rsidR="00CD2E12" w:rsidRPr="10FCEC34">
        <w:rPr>
          <w:lang w:val="en-GB"/>
        </w:rPr>
        <w:t xml:space="preserve"> </w:t>
      </w:r>
      <w:r w:rsidRPr="10FCEC34">
        <w:rPr>
          <w:lang w:val="en-GB"/>
        </w:rPr>
        <w:t xml:space="preserve">years </w:t>
      </w:r>
    </w:p>
    <w:p w14:paraId="5C73287F" w14:textId="4D60771A" w:rsidR="00953138" w:rsidRPr="00054432" w:rsidRDefault="00953138" w:rsidP="00C76D8D">
      <w:pPr>
        <w:numPr>
          <w:ilvl w:val="1"/>
          <w:numId w:val="4"/>
        </w:numPr>
        <w:jc w:val="both"/>
        <w:rPr>
          <w:lang w:val="en-GB"/>
        </w:rPr>
      </w:pPr>
      <w:r w:rsidRPr="10FCEC34">
        <w:rPr>
          <w:lang w:val="en-GB"/>
        </w:rPr>
        <w:t xml:space="preserve">Availability Guarantee – 98% for a minimum of </w:t>
      </w:r>
      <w:r w:rsidR="00CD2E12">
        <w:rPr>
          <w:lang w:val="en-GB"/>
        </w:rPr>
        <w:t>19</w:t>
      </w:r>
      <w:r w:rsidR="00CD2E12" w:rsidRPr="10FCEC34">
        <w:rPr>
          <w:lang w:val="en-GB"/>
        </w:rPr>
        <w:t xml:space="preserve"> </w:t>
      </w:r>
      <w:r w:rsidRPr="10FCEC34">
        <w:rPr>
          <w:lang w:val="en-GB"/>
        </w:rPr>
        <w:t xml:space="preserve">years </w:t>
      </w:r>
    </w:p>
    <w:p w14:paraId="48E5864C" w14:textId="7A48C361" w:rsidR="00953138" w:rsidRPr="00054432" w:rsidRDefault="00953138" w:rsidP="00C76D8D">
      <w:pPr>
        <w:numPr>
          <w:ilvl w:val="1"/>
          <w:numId w:val="4"/>
        </w:numPr>
        <w:jc w:val="both"/>
        <w:rPr>
          <w:lang w:val="en-GB"/>
        </w:rPr>
      </w:pPr>
      <w:r w:rsidRPr="5949ABDC">
        <w:rPr>
          <w:lang w:val="en-GB"/>
        </w:rPr>
        <w:t xml:space="preserve">System RTE </w:t>
      </w:r>
      <w:r w:rsidR="6468559B" w:rsidRPr="5949ABDC">
        <w:rPr>
          <w:lang w:val="en-GB"/>
        </w:rPr>
        <w:t>throughout</w:t>
      </w:r>
      <w:r w:rsidRPr="5949ABDC">
        <w:rPr>
          <w:lang w:val="en-GB"/>
        </w:rPr>
        <w:t xml:space="preserve"> lifetime </w:t>
      </w:r>
    </w:p>
    <w:p w14:paraId="79359E04" w14:textId="2C23C6AD" w:rsidR="35C6D43E" w:rsidRDefault="35C6D43E" w:rsidP="5949ABDC">
      <w:pPr>
        <w:numPr>
          <w:ilvl w:val="1"/>
          <w:numId w:val="4"/>
        </w:numPr>
        <w:jc w:val="both"/>
        <w:rPr>
          <w:lang w:val="en-GB"/>
        </w:rPr>
      </w:pPr>
      <w:r w:rsidRPr="5949ABDC">
        <w:rPr>
          <w:lang w:val="en-GB"/>
        </w:rPr>
        <w:t xml:space="preserve">Auxiliary </w:t>
      </w:r>
      <w:r w:rsidR="2E46DA3C" w:rsidRPr="5949ABDC">
        <w:rPr>
          <w:lang w:val="en-GB"/>
        </w:rPr>
        <w:t xml:space="preserve">consumption </w:t>
      </w:r>
      <w:r w:rsidR="004F0F45" w:rsidRPr="5949ABDC">
        <w:rPr>
          <w:lang w:val="en-GB"/>
        </w:rPr>
        <w:t>throughout</w:t>
      </w:r>
      <w:r w:rsidR="2E46DA3C" w:rsidRPr="5949ABDC">
        <w:rPr>
          <w:lang w:val="en-GB"/>
        </w:rPr>
        <w:t xml:space="preserve"> lifetime</w:t>
      </w:r>
      <w:r w:rsidR="58059B9A" w:rsidRPr="5949ABDC">
        <w:rPr>
          <w:lang w:val="en-GB"/>
        </w:rPr>
        <w:t xml:space="preserve">, including calculation formula. </w:t>
      </w:r>
      <w:r w:rsidR="003D534D">
        <w:rPr>
          <w:lang w:val="en-GB"/>
        </w:rPr>
        <w:t xml:space="preserve">Conditions offered for this formula shall be defined by the supplier. </w:t>
      </w:r>
    </w:p>
    <w:p w14:paraId="285DFC9C" w14:textId="77777777" w:rsidR="00953138" w:rsidRPr="00054432" w:rsidRDefault="00953138" w:rsidP="00C76D8D">
      <w:pPr>
        <w:numPr>
          <w:ilvl w:val="0"/>
          <w:numId w:val="4"/>
        </w:numPr>
        <w:jc w:val="both"/>
        <w:rPr>
          <w:lang w:val="en-GB"/>
        </w:rPr>
      </w:pPr>
      <w:r w:rsidRPr="10FCEC34">
        <w:rPr>
          <w:lang w:val="en-GB"/>
        </w:rPr>
        <w:t>LDs – delay, energy capacity, availability and RTE LDs</w:t>
      </w:r>
    </w:p>
    <w:p w14:paraId="7805030C" w14:textId="2C15A297" w:rsidR="008E1D38" w:rsidRDefault="00953138" w:rsidP="00C76D8D">
      <w:pPr>
        <w:numPr>
          <w:ilvl w:val="0"/>
          <w:numId w:val="4"/>
        </w:numPr>
        <w:jc w:val="both"/>
        <w:rPr>
          <w:lang w:val="en-GB"/>
        </w:rPr>
      </w:pPr>
      <w:r w:rsidRPr="10FCEC34">
        <w:rPr>
          <w:lang w:val="en-GB"/>
        </w:rPr>
        <w:t>End of life recycling obligation</w:t>
      </w:r>
    </w:p>
    <w:p w14:paraId="2AFFCD67" w14:textId="77777777" w:rsidR="00953138" w:rsidRPr="00953138" w:rsidRDefault="00953138" w:rsidP="00953138">
      <w:pPr>
        <w:ind w:left="720"/>
        <w:rPr>
          <w:lang w:val="en-GB"/>
        </w:rPr>
      </w:pPr>
    </w:p>
    <w:p w14:paraId="5A233268" w14:textId="1D098393" w:rsidR="001E25F9" w:rsidRPr="008B6A6D" w:rsidRDefault="001E25F9" w:rsidP="008B6A6D">
      <w:pPr>
        <w:pStyle w:val="ListParagraph"/>
        <w:keepNext/>
        <w:numPr>
          <w:ilvl w:val="0"/>
          <w:numId w:val="18"/>
        </w:numPr>
        <w:overflowPunct w:val="0"/>
        <w:spacing w:before="240" w:after="240" w:line="276" w:lineRule="auto"/>
        <w:jc w:val="both"/>
        <w:rPr>
          <w:rFonts w:ascii="Avenir Next LT Pro" w:eastAsia="Aptos" w:hAnsi="Avenir Next LT Pro" w:cs="Aptos"/>
          <w:b/>
          <w:bCs/>
          <w:color w:val="156082"/>
          <w:spacing w:val="-3"/>
          <w:kern w:val="0"/>
          <w:sz w:val="28"/>
          <w:szCs w:val="28"/>
          <w:lang w:eastAsia="zh-CN"/>
          <w14:ligatures w14:val="none"/>
        </w:rPr>
      </w:pPr>
      <w:r w:rsidRPr="008B6A6D">
        <w:rPr>
          <w:rFonts w:ascii="Avenir Next LT Pro" w:eastAsia="Aptos" w:hAnsi="Avenir Next LT Pro" w:cs="Aptos"/>
          <w:b/>
          <w:bCs/>
          <w:color w:val="156082"/>
          <w:spacing w:val="-3"/>
          <w:kern w:val="0"/>
          <w:sz w:val="28"/>
          <w:szCs w:val="28"/>
          <w:lang w:eastAsia="zh-CN"/>
          <w14:ligatures w14:val="none"/>
        </w:rPr>
        <w:t>Functional requirements</w:t>
      </w:r>
      <w:bookmarkEnd w:id="9"/>
    </w:p>
    <w:tbl>
      <w:tblPr>
        <w:tblW w:w="6660" w:type="dxa"/>
        <w:tblCellMar>
          <w:left w:w="0" w:type="dxa"/>
          <w:right w:w="0" w:type="dxa"/>
        </w:tblCellMar>
        <w:tblLook w:val="04A0" w:firstRow="1" w:lastRow="0" w:firstColumn="1" w:lastColumn="0" w:noHBand="0" w:noVBand="1"/>
      </w:tblPr>
      <w:tblGrid>
        <w:gridCol w:w="2980"/>
        <w:gridCol w:w="3680"/>
      </w:tblGrid>
      <w:tr w:rsidR="00BC0265" w:rsidRPr="001E25F9" w14:paraId="68E3B328" w14:textId="77777777" w:rsidTr="667D0B00">
        <w:trPr>
          <w:trHeight w:val="300"/>
        </w:trPr>
        <w:tc>
          <w:tcPr>
            <w:tcW w:w="2980" w:type="dxa"/>
            <w:tcBorders>
              <w:top w:val="nil"/>
              <w:left w:val="nil"/>
              <w:bottom w:val="single" w:sz="8" w:space="0" w:color="71C3B8"/>
              <w:right w:val="nil"/>
            </w:tcBorders>
            <w:shd w:val="clear" w:color="auto" w:fill="FFFFFF" w:themeFill="background1"/>
            <w:tcMar>
              <w:top w:w="0" w:type="dxa"/>
              <w:left w:w="108" w:type="dxa"/>
              <w:bottom w:w="0" w:type="dxa"/>
              <w:right w:w="108" w:type="dxa"/>
            </w:tcMar>
            <w:vAlign w:val="center"/>
            <w:hideMark/>
          </w:tcPr>
          <w:p w14:paraId="2D5EAFC8" w14:textId="144D0B9C" w:rsidR="00BC0265" w:rsidRPr="00FF24E5" w:rsidRDefault="00BC0265" w:rsidP="00F605D1">
            <w:pPr>
              <w:spacing w:after="0" w:line="240" w:lineRule="auto"/>
              <w:jc w:val="right"/>
              <w:rPr>
                <w:rFonts w:ascii="Calibri" w:eastAsia="Aptos" w:hAnsi="Calibri" w:cs="Calibri"/>
                <w:b/>
                <w:bCs/>
                <w:color w:val="000000"/>
                <w:kern w:val="0"/>
                <w14:ligatures w14:val="none"/>
              </w:rPr>
            </w:pPr>
            <w:r w:rsidRPr="00FF24E5">
              <w:rPr>
                <w:rFonts w:ascii="Calibri" w:eastAsia="Aptos" w:hAnsi="Calibri" w:cs="Calibri"/>
                <w:b/>
                <w:bCs/>
                <w:color w:val="000000"/>
                <w:kern w:val="0"/>
                <w:lang w:val="de-DE"/>
                <w14:ligatures w14:val="none"/>
              </w:rPr>
              <w:t xml:space="preserve">BESS </w:t>
            </w:r>
          </w:p>
        </w:tc>
        <w:tc>
          <w:tcPr>
            <w:tcW w:w="3680" w:type="dxa"/>
            <w:tcBorders>
              <w:top w:val="nil"/>
              <w:left w:val="nil"/>
              <w:bottom w:val="single" w:sz="8" w:space="0" w:color="71C3B8"/>
              <w:right w:val="nil"/>
            </w:tcBorders>
            <w:shd w:val="clear" w:color="auto" w:fill="FFFFFF" w:themeFill="background1"/>
            <w:tcMar>
              <w:top w:w="0" w:type="dxa"/>
              <w:left w:w="108" w:type="dxa"/>
              <w:bottom w:w="0" w:type="dxa"/>
              <w:right w:w="108" w:type="dxa"/>
            </w:tcMar>
            <w:vAlign w:val="center"/>
          </w:tcPr>
          <w:p w14:paraId="248A4E1F" w14:textId="77777777" w:rsidR="00BC0265" w:rsidRPr="001E25F9" w:rsidRDefault="00BC0265" w:rsidP="00F605D1">
            <w:pPr>
              <w:spacing w:after="0" w:line="240" w:lineRule="auto"/>
              <w:rPr>
                <w:rFonts w:ascii="Calibri" w:eastAsia="Aptos" w:hAnsi="Calibri" w:cs="Calibri"/>
                <w:color w:val="FF0000"/>
                <w:kern w:val="0"/>
                <w:lang w:val="pt-BR"/>
                <w14:ligatures w14:val="none"/>
              </w:rPr>
            </w:pPr>
          </w:p>
        </w:tc>
      </w:tr>
      <w:tr w:rsidR="00BC0265" w:rsidRPr="00FF24E5" w14:paraId="6780C941" w14:textId="77777777" w:rsidTr="667D0B00">
        <w:trPr>
          <w:trHeight w:val="288"/>
        </w:trPr>
        <w:tc>
          <w:tcPr>
            <w:tcW w:w="2980" w:type="dxa"/>
            <w:tcBorders>
              <w:top w:val="nil"/>
              <w:left w:val="nil"/>
              <w:bottom w:val="nil"/>
              <w:right w:val="single" w:sz="8" w:space="0" w:color="71C3B8"/>
            </w:tcBorders>
            <w:shd w:val="clear" w:color="auto" w:fill="FFFFFF" w:themeFill="background1"/>
            <w:tcMar>
              <w:top w:w="0" w:type="dxa"/>
              <w:left w:w="108" w:type="dxa"/>
              <w:bottom w:w="0" w:type="dxa"/>
              <w:right w:w="108" w:type="dxa"/>
            </w:tcMar>
            <w:vAlign w:val="center"/>
            <w:hideMark/>
          </w:tcPr>
          <w:p w14:paraId="025CF2B5" w14:textId="2D5B2ED6" w:rsidR="00BC0265" w:rsidRPr="00FF24E5" w:rsidRDefault="00603BB2" w:rsidP="00F605D1">
            <w:pPr>
              <w:spacing w:after="0" w:line="240" w:lineRule="auto"/>
              <w:jc w:val="right"/>
              <w:rPr>
                <w:rFonts w:ascii="Calibri" w:eastAsia="Aptos" w:hAnsi="Calibri" w:cs="Calibri"/>
                <w:color w:val="000000"/>
                <w:kern w:val="0"/>
                <w14:ligatures w14:val="none"/>
              </w:rPr>
            </w:pPr>
            <w:r w:rsidRPr="009B1AE1">
              <w:rPr>
                <w:rFonts w:ascii="Calibri" w:eastAsia="Aptos" w:hAnsi="Calibri" w:cs="Calibri"/>
                <w:color w:val="000000"/>
                <w:kern w:val="0"/>
                <w:lang w:val="en-GB"/>
                <w14:ligatures w14:val="none"/>
              </w:rPr>
              <w:t xml:space="preserve">Installed Nameplate Power </w:t>
            </w:r>
            <w:r w:rsidR="00BC0265" w:rsidRPr="009B1AE1">
              <w:rPr>
                <w:rFonts w:ascii="Calibri" w:eastAsia="Aptos" w:hAnsi="Calibri" w:cs="Calibri"/>
                <w:color w:val="000000"/>
                <w:kern w:val="0"/>
                <w:lang w:val="en-GB"/>
                <w14:ligatures w14:val="none"/>
              </w:rPr>
              <w:t>(</w:t>
            </w:r>
            <w:r w:rsidRPr="009B1AE1">
              <w:rPr>
                <w:rFonts w:ascii="Calibri" w:eastAsia="Aptos" w:hAnsi="Calibri" w:cs="Calibri"/>
                <w:color w:val="000000"/>
                <w:kern w:val="0"/>
                <w:lang w:val="en-GB"/>
                <w14:ligatures w14:val="none"/>
              </w:rPr>
              <w:t>M</w:t>
            </w:r>
            <w:r>
              <w:rPr>
                <w:rFonts w:ascii="Calibri" w:eastAsia="Aptos" w:hAnsi="Calibri" w:cs="Calibri"/>
                <w:color w:val="000000"/>
                <w:kern w:val="0"/>
                <w:lang w:val="en-GB"/>
                <w14:ligatures w14:val="none"/>
              </w:rPr>
              <w:t>VA</w:t>
            </w:r>
            <w:r w:rsidR="00BC0265" w:rsidRPr="009B1AE1">
              <w:rPr>
                <w:rFonts w:ascii="Calibri" w:eastAsia="Aptos" w:hAnsi="Calibri" w:cs="Calibri"/>
                <w:color w:val="000000"/>
                <w:kern w:val="0"/>
                <w:lang w:val="en-GB"/>
                <w14:ligatures w14:val="none"/>
              </w:rPr>
              <w:t>)</w:t>
            </w:r>
          </w:p>
        </w:tc>
        <w:tc>
          <w:tcPr>
            <w:tcW w:w="3680" w:type="dxa"/>
            <w:shd w:val="clear" w:color="auto" w:fill="E2F3F0"/>
            <w:tcMar>
              <w:top w:w="0" w:type="dxa"/>
              <w:left w:w="108" w:type="dxa"/>
              <w:bottom w:w="0" w:type="dxa"/>
              <w:right w:w="108" w:type="dxa"/>
            </w:tcMar>
            <w:vAlign w:val="center"/>
            <w:hideMark/>
          </w:tcPr>
          <w:p w14:paraId="42D7AFD1" w14:textId="6DA0278A" w:rsidR="00BC0265" w:rsidRPr="00FF24E5" w:rsidRDefault="00C40F38" w:rsidP="00F605D1">
            <w:pPr>
              <w:spacing w:after="0" w:line="240" w:lineRule="auto"/>
              <w:rPr>
                <w:rFonts w:ascii="Calibri" w:eastAsia="Aptos" w:hAnsi="Calibri" w:cs="Calibri"/>
                <w:color w:val="000000"/>
                <w:kern w:val="0"/>
                <w14:ligatures w14:val="none"/>
              </w:rPr>
            </w:pPr>
            <w:r>
              <w:rPr>
                <w:rFonts w:ascii="Calibri" w:eastAsia="Aptos" w:hAnsi="Calibri" w:cs="Calibri"/>
                <w:color w:val="000000"/>
                <w:kern w:val="0"/>
                <w14:ligatures w14:val="none"/>
              </w:rPr>
              <w:t xml:space="preserve">56 </w:t>
            </w:r>
            <w:r w:rsidR="00BC0265">
              <w:rPr>
                <w:rFonts w:ascii="Calibri" w:eastAsia="Aptos" w:hAnsi="Calibri" w:cs="Calibri"/>
                <w:color w:val="000000"/>
                <w:kern w:val="0"/>
                <w14:ligatures w14:val="none"/>
              </w:rPr>
              <w:t>M</w:t>
            </w:r>
            <w:r w:rsidR="00904839">
              <w:rPr>
                <w:rFonts w:ascii="Calibri" w:eastAsia="Aptos" w:hAnsi="Calibri" w:cs="Calibri"/>
                <w:color w:val="000000"/>
                <w:kern w:val="0"/>
                <w14:ligatures w14:val="none"/>
              </w:rPr>
              <w:t>VA</w:t>
            </w:r>
            <w:r w:rsidR="00BC0265">
              <w:rPr>
                <w:rFonts w:ascii="Calibri" w:eastAsia="Aptos" w:hAnsi="Calibri" w:cs="Calibri"/>
                <w:color w:val="000000"/>
                <w:kern w:val="0"/>
                <w14:ligatures w14:val="none"/>
              </w:rPr>
              <w:t xml:space="preserve"> </w:t>
            </w:r>
          </w:p>
        </w:tc>
      </w:tr>
      <w:tr w:rsidR="000C72BE" w:rsidRPr="00FF24E5" w14:paraId="2891B39B" w14:textId="77777777" w:rsidTr="667D0B00">
        <w:trPr>
          <w:trHeight w:val="288"/>
        </w:trPr>
        <w:tc>
          <w:tcPr>
            <w:tcW w:w="2980" w:type="dxa"/>
            <w:tcBorders>
              <w:top w:val="nil"/>
              <w:left w:val="nil"/>
              <w:bottom w:val="nil"/>
              <w:right w:val="single" w:sz="8" w:space="0" w:color="71C3B8"/>
            </w:tcBorders>
            <w:shd w:val="clear" w:color="auto" w:fill="FFFFFF" w:themeFill="background1"/>
            <w:tcMar>
              <w:top w:w="0" w:type="dxa"/>
              <w:left w:w="108" w:type="dxa"/>
              <w:bottom w:w="0" w:type="dxa"/>
              <w:right w:w="108" w:type="dxa"/>
            </w:tcMar>
            <w:vAlign w:val="center"/>
          </w:tcPr>
          <w:p w14:paraId="33EF5C1F" w14:textId="2BE2C551" w:rsidR="000C72BE" w:rsidRDefault="000C72BE" w:rsidP="00F605D1">
            <w:pPr>
              <w:spacing w:after="0" w:line="240" w:lineRule="auto"/>
              <w:jc w:val="right"/>
              <w:rPr>
                <w:rFonts w:ascii="Calibri" w:eastAsia="Aptos" w:hAnsi="Calibri" w:cs="Calibri"/>
                <w:color w:val="000000"/>
                <w:kern w:val="0"/>
                <w:lang w:val="de-DE"/>
                <w14:ligatures w14:val="none"/>
              </w:rPr>
            </w:pPr>
            <w:r>
              <w:rPr>
                <w:rFonts w:ascii="Calibri" w:eastAsia="Aptos" w:hAnsi="Calibri" w:cs="Calibri"/>
                <w:color w:val="000000"/>
                <w:kern w:val="0"/>
                <w:lang w:val="de-DE"/>
                <w14:ligatures w14:val="none"/>
              </w:rPr>
              <w:t>At POI</w:t>
            </w:r>
          </w:p>
        </w:tc>
        <w:tc>
          <w:tcPr>
            <w:tcW w:w="3680" w:type="dxa"/>
            <w:shd w:val="clear" w:color="auto" w:fill="E2F3F0"/>
            <w:tcMar>
              <w:top w:w="0" w:type="dxa"/>
              <w:left w:w="108" w:type="dxa"/>
              <w:bottom w:w="0" w:type="dxa"/>
              <w:right w:w="108" w:type="dxa"/>
            </w:tcMar>
            <w:vAlign w:val="center"/>
          </w:tcPr>
          <w:p w14:paraId="00ADDA05" w14:textId="58AB6B83" w:rsidR="000C72BE" w:rsidRPr="00BC273D" w:rsidRDefault="00AD746D" w:rsidP="00F605D1">
            <w:pPr>
              <w:spacing w:after="0" w:line="240" w:lineRule="auto"/>
              <w:rPr>
                <w:rFonts w:ascii="Calibri" w:eastAsia="Aptos" w:hAnsi="Calibri" w:cs="Calibri"/>
                <w:color w:val="000000"/>
                <w:kern w:val="0"/>
                <w14:ligatures w14:val="none"/>
              </w:rPr>
            </w:pPr>
            <w:r>
              <w:rPr>
                <w:rFonts w:ascii="Calibri" w:eastAsia="Aptos" w:hAnsi="Calibri" w:cs="Calibri"/>
                <w:color w:val="000000"/>
                <w:kern w:val="0"/>
                <w14:ligatures w14:val="none"/>
              </w:rPr>
              <w:t>11</w:t>
            </w:r>
            <w:r w:rsidR="000C72BE" w:rsidRPr="00BC273D">
              <w:rPr>
                <w:rFonts w:ascii="Calibri" w:eastAsia="Aptos" w:hAnsi="Calibri" w:cs="Calibri"/>
                <w:color w:val="000000"/>
                <w:kern w:val="0"/>
                <w14:ligatures w14:val="none"/>
              </w:rPr>
              <w:t>0</w:t>
            </w:r>
            <w:r w:rsidR="4924BED0" w:rsidRPr="00BC273D">
              <w:rPr>
                <w:rFonts w:ascii="Calibri" w:eastAsia="Aptos" w:hAnsi="Calibri" w:cs="Calibri"/>
                <w:color w:val="000000"/>
                <w:kern w:val="0"/>
                <w14:ligatures w14:val="none"/>
              </w:rPr>
              <w:t xml:space="preserve"> </w:t>
            </w:r>
            <w:r w:rsidR="631F714F" w:rsidRPr="00BC273D">
              <w:rPr>
                <w:rFonts w:ascii="Calibri" w:eastAsia="Aptos" w:hAnsi="Calibri" w:cs="Calibri"/>
                <w:color w:val="000000"/>
                <w:kern w:val="0"/>
                <w14:ligatures w14:val="none"/>
              </w:rPr>
              <w:t>k</w:t>
            </w:r>
            <w:r w:rsidR="000C72BE" w:rsidRPr="00BC273D">
              <w:rPr>
                <w:rFonts w:ascii="Calibri" w:eastAsia="Aptos" w:hAnsi="Calibri" w:cs="Calibri"/>
                <w:color w:val="000000"/>
                <w:kern w:val="0"/>
                <w14:ligatures w14:val="none"/>
              </w:rPr>
              <w:t>V (</w:t>
            </w:r>
            <w:r w:rsidR="004B7852" w:rsidRPr="00BC273D">
              <w:rPr>
                <w:rFonts w:ascii="Calibri" w:eastAsia="Aptos" w:hAnsi="Calibri" w:cs="Calibri"/>
                <w:color w:val="000000"/>
                <w:kern w:val="0"/>
                <w14:ligatures w14:val="none"/>
              </w:rPr>
              <w:t>Site S/E</w:t>
            </w:r>
            <w:r w:rsidR="00EF6C22" w:rsidRPr="00BC273D">
              <w:rPr>
                <w:rFonts w:ascii="Calibri" w:eastAsia="Aptos" w:hAnsi="Calibri" w:cs="Calibri"/>
                <w:color w:val="000000"/>
                <w:kern w:val="0"/>
                <w14:ligatures w14:val="none"/>
              </w:rPr>
              <w:t>)</w:t>
            </w:r>
          </w:p>
        </w:tc>
      </w:tr>
      <w:tr w:rsidR="00BC0265" w:rsidRPr="00FF24E5" w14:paraId="680F7A86" w14:textId="77777777" w:rsidTr="667D0B00">
        <w:trPr>
          <w:trHeight w:val="288"/>
        </w:trPr>
        <w:tc>
          <w:tcPr>
            <w:tcW w:w="2980" w:type="dxa"/>
            <w:tcBorders>
              <w:top w:val="nil"/>
              <w:left w:val="nil"/>
              <w:bottom w:val="nil"/>
              <w:right w:val="single" w:sz="8" w:space="0" w:color="71C3B8"/>
            </w:tcBorders>
            <w:shd w:val="clear" w:color="auto" w:fill="FFFFFF" w:themeFill="background1"/>
            <w:tcMar>
              <w:top w:w="0" w:type="dxa"/>
              <w:left w:w="108" w:type="dxa"/>
              <w:bottom w:w="0" w:type="dxa"/>
              <w:right w:w="108" w:type="dxa"/>
            </w:tcMar>
            <w:vAlign w:val="center"/>
          </w:tcPr>
          <w:p w14:paraId="53E5CCC1" w14:textId="1B7C465F" w:rsidR="00BC0265" w:rsidRDefault="00BC0265" w:rsidP="00F605D1">
            <w:pPr>
              <w:spacing w:after="0" w:line="240" w:lineRule="auto"/>
              <w:jc w:val="right"/>
              <w:rPr>
                <w:rFonts w:ascii="Calibri" w:eastAsia="Aptos" w:hAnsi="Calibri" w:cs="Calibri"/>
                <w:color w:val="000000"/>
                <w:kern w:val="0"/>
                <w:lang w:val="de-DE"/>
                <w14:ligatures w14:val="none"/>
              </w:rPr>
            </w:pPr>
            <w:r>
              <w:rPr>
                <w:rFonts w:ascii="Calibri" w:eastAsia="Aptos" w:hAnsi="Calibri" w:cs="Calibri"/>
                <w:color w:val="000000"/>
                <w:kern w:val="0"/>
                <w:lang w:val="de-DE"/>
                <w14:ligatures w14:val="none"/>
              </w:rPr>
              <w:t>Design Conditions</w:t>
            </w:r>
          </w:p>
        </w:tc>
        <w:tc>
          <w:tcPr>
            <w:tcW w:w="3680" w:type="dxa"/>
            <w:shd w:val="clear" w:color="auto" w:fill="E2F3F0"/>
            <w:tcMar>
              <w:top w:w="0" w:type="dxa"/>
              <w:left w:w="108" w:type="dxa"/>
              <w:bottom w:w="0" w:type="dxa"/>
              <w:right w:w="108" w:type="dxa"/>
            </w:tcMar>
            <w:vAlign w:val="center"/>
          </w:tcPr>
          <w:p w14:paraId="31ECE4BA" w14:textId="784C6EB3" w:rsidR="00BC0265" w:rsidRDefault="00BC0265" w:rsidP="00F605D1">
            <w:pPr>
              <w:spacing w:after="0" w:line="240" w:lineRule="auto"/>
              <w:rPr>
                <w:rFonts w:ascii="Calibri" w:eastAsia="Aptos" w:hAnsi="Calibri" w:cs="Calibri"/>
                <w:color w:val="000000"/>
                <w:kern w:val="0"/>
                <w14:ligatures w14:val="none"/>
              </w:rPr>
            </w:pPr>
            <w:r>
              <w:rPr>
                <w:rFonts w:ascii="Calibri" w:eastAsia="Aptos" w:hAnsi="Calibri" w:cs="Calibri"/>
                <w:color w:val="000000"/>
                <w:kern w:val="0"/>
                <w14:ligatures w14:val="none"/>
              </w:rPr>
              <w:t>Beginning of life</w:t>
            </w:r>
          </w:p>
        </w:tc>
      </w:tr>
      <w:tr w:rsidR="00BC0265" w:rsidRPr="00FF24E5" w14:paraId="2ACB3B35" w14:textId="77777777" w:rsidTr="667D0B00">
        <w:trPr>
          <w:trHeight w:val="288"/>
        </w:trPr>
        <w:tc>
          <w:tcPr>
            <w:tcW w:w="2980" w:type="dxa"/>
            <w:tcBorders>
              <w:top w:val="nil"/>
              <w:left w:val="nil"/>
              <w:bottom w:val="nil"/>
              <w:right w:val="single" w:sz="8" w:space="0" w:color="71C3B8"/>
            </w:tcBorders>
            <w:shd w:val="clear" w:color="auto" w:fill="FFFFFF" w:themeFill="background1"/>
            <w:tcMar>
              <w:top w:w="0" w:type="dxa"/>
              <w:left w:w="108" w:type="dxa"/>
              <w:bottom w:w="0" w:type="dxa"/>
              <w:right w:w="108" w:type="dxa"/>
            </w:tcMar>
            <w:vAlign w:val="center"/>
          </w:tcPr>
          <w:p w14:paraId="2C8DD8F4" w14:textId="548989E1" w:rsidR="00BC0265" w:rsidRDefault="00BC0265" w:rsidP="00F605D1">
            <w:pPr>
              <w:spacing w:after="0" w:line="240" w:lineRule="auto"/>
              <w:jc w:val="right"/>
              <w:rPr>
                <w:rFonts w:ascii="Calibri" w:eastAsia="Aptos" w:hAnsi="Calibri" w:cs="Calibri"/>
                <w:color w:val="000000"/>
                <w:kern w:val="0"/>
                <w:lang w:val="de-DE"/>
                <w14:ligatures w14:val="none"/>
              </w:rPr>
            </w:pPr>
            <w:r>
              <w:rPr>
                <w:rFonts w:ascii="Calibri" w:eastAsia="Aptos" w:hAnsi="Calibri" w:cs="Calibri"/>
                <w:color w:val="000000"/>
                <w:kern w:val="0"/>
                <w:lang w:val="de-DE"/>
                <w14:ligatures w14:val="none"/>
              </w:rPr>
              <w:t>Battery cycling</w:t>
            </w:r>
          </w:p>
        </w:tc>
        <w:tc>
          <w:tcPr>
            <w:tcW w:w="3680" w:type="dxa"/>
            <w:shd w:val="clear" w:color="auto" w:fill="E2F3F0"/>
            <w:tcMar>
              <w:top w:w="0" w:type="dxa"/>
              <w:left w:w="108" w:type="dxa"/>
              <w:bottom w:w="0" w:type="dxa"/>
              <w:right w:w="108" w:type="dxa"/>
            </w:tcMar>
            <w:vAlign w:val="center"/>
          </w:tcPr>
          <w:p w14:paraId="58C8CF72" w14:textId="008EA705" w:rsidR="00BC0265" w:rsidRDefault="2A15DCC1" w:rsidP="00F605D1">
            <w:pPr>
              <w:spacing w:after="0" w:line="240" w:lineRule="auto"/>
              <w:rPr>
                <w:rFonts w:ascii="Calibri" w:eastAsia="Aptos" w:hAnsi="Calibri" w:cs="Calibri"/>
                <w:color w:val="000000"/>
                <w:kern w:val="0"/>
                <w14:ligatures w14:val="none"/>
              </w:rPr>
            </w:pPr>
            <w:r>
              <w:rPr>
                <w:rFonts w:ascii="Calibri" w:eastAsia="Aptos" w:hAnsi="Calibri" w:cs="Calibri"/>
                <w:color w:val="000000"/>
                <w:kern w:val="0"/>
                <w14:ligatures w14:val="none"/>
              </w:rPr>
              <w:t>548</w:t>
            </w:r>
            <w:r w:rsidR="00BC0265">
              <w:rPr>
                <w:rFonts w:ascii="Calibri" w:eastAsia="Aptos" w:hAnsi="Calibri" w:cs="Calibri"/>
                <w:color w:val="000000"/>
                <w:kern w:val="0"/>
                <w14:ligatures w14:val="none"/>
              </w:rPr>
              <w:t xml:space="preserve"> cycles/</w:t>
            </w:r>
            <w:r w:rsidR="2EDFEBD2">
              <w:rPr>
                <w:rFonts w:ascii="Calibri" w:eastAsia="Aptos" w:hAnsi="Calibri" w:cs="Calibri"/>
                <w:color w:val="000000"/>
                <w:kern w:val="0"/>
                <w14:ligatures w14:val="none"/>
              </w:rPr>
              <w:t>year</w:t>
            </w:r>
          </w:p>
        </w:tc>
      </w:tr>
      <w:tr w:rsidR="00BC0265" w:rsidRPr="001E25F9" w14:paraId="6872EE3F" w14:textId="77777777" w:rsidTr="667D0B00">
        <w:trPr>
          <w:trHeight w:val="288"/>
        </w:trPr>
        <w:tc>
          <w:tcPr>
            <w:tcW w:w="2980" w:type="dxa"/>
            <w:tcBorders>
              <w:top w:val="nil"/>
              <w:left w:val="nil"/>
              <w:bottom w:val="nil"/>
              <w:right w:val="single" w:sz="8" w:space="0" w:color="71C3B8"/>
            </w:tcBorders>
            <w:shd w:val="clear" w:color="auto" w:fill="FFFFFF" w:themeFill="background1"/>
            <w:tcMar>
              <w:top w:w="0" w:type="dxa"/>
              <w:left w:w="108" w:type="dxa"/>
              <w:bottom w:w="0" w:type="dxa"/>
              <w:right w:w="108" w:type="dxa"/>
            </w:tcMar>
            <w:vAlign w:val="center"/>
          </w:tcPr>
          <w:p w14:paraId="52B5BBC6" w14:textId="5F88609B" w:rsidR="00BC0265" w:rsidRDefault="00BC0265" w:rsidP="00F605D1">
            <w:pPr>
              <w:spacing w:after="0" w:line="240" w:lineRule="auto"/>
              <w:jc w:val="right"/>
              <w:rPr>
                <w:rFonts w:ascii="Calibri" w:eastAsia="Aptos" w:hAnsi="Calibri" w:cs="Calibri"/>
                <w:color w:val="000000"/>
                <w:kern w:val="0"/>
                <w:lang w:val="de-DE"/>
                <w14:ligatures w14:val="none"/>
              </w:rPr>
            </w:pPr>
            <w:r>
              <w:rPr>
                <w:rFonts w:ascii="Calibri" w:eastAsia="Aptos" w:hAnsi="Calibri" w:cs="Calibri"/>
                <w:color w:val="000000"/>
                <w:kern w:val="0"/>
                <w:lang w:val="de-DE"/>
                <w14:ligatures w14:val="none"/>
              </w:rPr>
              <w:t>Connected Voltage</w:t>
            </w:r>
          </w:p>
        </w:tc>
        <w:tc>
          <w:tcPr>
            <w:tcW w:w="3680" w:type="dxa"/>
            <w:shd w:val="clear" w:color="auto" w:fill="E2F3F0"/>
            <w:tcMar>
              <w:top w:w="0" w:type="dxa"/>
              <w:left w:w="108" w:type="dxa"/>
              <w:bottom w:w="0" w:type="dxa"/>
              <w:right w:w="108" w:type="dxa"/>
            </w:tcMar>
            <w:vAlign w:val="center"/>
          </w:tcPr>
          <w:p w14:paraId="20F169C2" w14:textId="43485496" w:rsidR="00BC0265" w:rsidRPr="001E25F9" w:rsidRDefault="00AD746D" w:rsidP="00F605D1">
            <w:pPr>
              <w:spacing w:after="0" w:line="240" w:lineRule="auto"/>
              <w:rPr>
                <w:rFonts w:ascii="Calibri" w:eastAsia="Aptos" w:hAnsi="Calibri" w:cs="Calibri"/>
                <w:color w:val="000000"/>
                <w:kern w:val="0"/>
                <w14:ligatures w14:val="none"/>
              </w:rPr>
            </w:pPr>
            <w:r>
              <w:rPr>
                <w:rFonts w:ascii="Calibri" w:eastAsia="Aptos" w:hAnsi="Calibri" w:cs="Calibri"/>
                <w:color w:val="000000"/>
                <w:kern w:val="0"/>
                <w14:ligatures w14:val="none"/>
              </w:rPr>
              <w:t>11</w:t>
            </w:r>
            <w:r w:rsidR="00BC0265">
              <w:rPr>
                <w:rFonts w:ascii="Calibri" w:eastAsia="Aptos" w:hAnsi="Calibri" w:cs="Calibri"/>
                <w:color w:val="000000"/>
                <w:kern w:val="0"/>
                <w14:ligatures w14:val="none"/>
              </w:rPr>
              <w:t>0</w:t>
            </w:r>
            <w:r w:rsidR="6DBB9D49">
              <w:rPr>
                <w:rFonts w:ascii="Calibri" w:eastAsia="Aptos" w:hAnsi="Calibri" w:cs="Calibri"/>
                <w:color w:val="000000"/>
                <w:kern w:val="0"/>
                <w14:ligatures w14:val="none"/>
              </w:rPr>
              <w:t xml:space="preserve"> </w:t>
            </w:r>
            <w:r w:rsidR="632D09EE">
              <w:rPr>
                <w:rFonts w:ascii="Calibri" w:eastAsia="Aptos" w:hAnsi="Calibri" w:cs="Calibri"/>
                <w:color w:val="000000"/>
                <w:kern w:val="0"/>
                <w14:ligatures w14:val="none"/>
              </w:rPr>
              <w:t>k</w:t>
            </w:r>
            <w:r w:rsidR="00BC0265">
              <w:rPr>
                <w:rFonts w:ascii="Calibri" w:eastAsia="Aptos" w:hAnsi="Calibri" w:cs="Calibri"/>
                <w:color w:val="000000"/>
                <w:kern w:val="0"/>
                <w14:ligatures w14:val="none"/>
              </w:rPr>
              <w:t>V</w:t>
            </w:r>
          </w:p>
        </w:tc>
      </w:tr>
      <w:tr w:rsidR="00BC0265" w:rsidRPr="001E25F9" w14:paraId="50343B49" w14:textId="77777777" w:rsidTr="667D0B00">
        <w:trPr>
          <w:trHeight w:val="288"/>
        </w:trPr>
        <w:tc>
          <w:tcPr>
            <w:tcW w:w="2980" w:type="dxa"/>
            <w:tcBorders>
              <w:top w:val="nil"/>
              <w:left w:val="nil"/>
              <w:bottom w:val="nil"/>
              <w:right w:val="single" w:sz="8" w:space="0" w:color="71C3B8"/>
            </w:tcBorders>
            <w:shd w:val="clear" w:color="auto" w:fill="FFFFFF" w:themeFill="background1"/>
            <w:tcMar>
              <w:top w:w="0" w:type="dxa"/>
              <w:left w:w="108" w:type="dxa"/>
              <w:bottom w:w="0" w:type="dxa"/>
              <w:right w:w="108" w:type="dxa"/>
            </w:tcMar>
            <w:vAlign w:val="center"/>
          </w:tcPr>
          <w:p w14:paraId="1C2ADEA0" w14:textId="79DAF617" w:rsidR="00BC0265" w:rsidRDefault="00BC0265" w:rsidP="00F605D1">
            <w:pPr>
              <w:spacing w:after="0" w:line="240" w:lineRule="auto"/>
              <w:jc w:val="right"/>
              <w:rPr>
                <w:rFonts w:ascii="Calibri" w:eastAsia="Aptos" w:hAnsi="Calibri" w:cs="Calibri"/>
                <w:color w:val="000000"/>
                <w:kern w:val="0"/>
                <w:lang w:val="de-DE"/>
                <w14:ligatures w14:val="none"/>
              </w:rPr>
            </w:pPr>
            <w:r>
              <w:rPr>
                <w:rFonts w:ascii="Calibri" w:eastAsia="Aptos" w:hAnsi="Calibri" w:cs="Calibri"/>
                <w:color w:val="000000"/>
                <w:kern w:val="0"/>
                <w:lang w:val="de-DE"/>
                <w14:ligatures w14:val="none"/>
              </w:rPr>
              <w:t>Site voltage (MV)</w:t>
            </w:r>
          </w:p>
        </w:tc>
        <w:tc>
          <w:tcPr>
            <w:tcW w:w="3680" w:type="dxa"/>
            <w:shd w:val="clear" w:color="auto" w:fill="E2F3F0"/>
            <w:tcMar>
              <w:top w:w="0" w:type="dxa"/>
              <w:left w:w="108" w:type="dxa"/>
              <w:bottom w:w="0" w:type="dxa"/>
              <w:right w:w="108" w:type="dxa"/>
            </w:tcMar>
            <w:vAlign w:val="center"/>
          </w:tcPr>
          <w:p w14:paraId="33AB5DA4" w14:textId="40B400F9" w:rsidR="00BC0265" w:rsidRPr="001E25F9" w:rsidRDefault="00BC0265" w:rsidP="00F605D1">
            <w:pPr>
              <w:spacing w:after="0" w:line="240" w:lineRule="auto"/>
              <w:rPr>
                <w:rFonts w:ascii="Calibri" w:eastAsia="Aptos" w:hAnsi="Calibri" w:cs="Calibri"/>
                <w:color w:val="000000"/>
                <w:kern w:val="0"/>
                <w14:ligatures w14:val="none"/>
              </w:rPr>
            </w:pPr>
            <w:r>
              <w:rPr>
                <w:rFonts w:ascii="Calibri" w:eastAsia="Aptos" w:hAnsi="Calibri" w:cs="Calibri"/>
                <w:color w:val="000000"/>
                <w:kern w:val="0"/>
                <w14:ligatures w14:val="none"/>
              </w:rPr>
              <w:t>3</w:t>
            </w:r>
            <w:r w:rsidR="00647494">
              <w:rPr>
                <w:rFonts w:ascii="Calibri" w:eastAsia="Aptos" w:hAnsi="Calibri" w:cs="Calibri"/>
                <w:color w:val="000000"/>
                <w:kern w:val="0"/>
                <w14:ligatures w14:val="none"/>
              </w:rPr>
              <w:t>3</w:t>
            </w:r>
            <w:r w:rsidR="1F99A663">
              <w:rPr>
                <w:rFonts w:ascii="Calibri" w:eastAsia="Aptos" w:hAnsi="Calibri" w:cs="Calibri"/>
                <w:color w:val="000000"/>
                <w:kern w:val="0"/>
                <w14:ligatures w14:val="none"/>
              </w:rPr>
              <w:t xml:space="preserve"> </w:t>
            </w:r>
            <w:r w:rsidR="4E49BDB6">
              <w:rPr>
                <w:rFonts w:ascii="Calibri" w:eastAsia="Aptos" w:hAnsi="Calibri" w:cs="Calibri"/>
                <w:color w:val="000000"/>
                <w:kern w:val="0"/>
                <w14:ligatures w14:val="none"/>
              </w:rPr>
              <w:t>k</w:t>
            </w:r>
            <w:r>
              <w:rPr>
                <w:rFonts w:ascii="Calibri" w:eastAsia="Aptos" w:hAnsi="Calibri" w:cs="Calibri"/>
                <w:color w:val="000000"/>
                <w:kern w:val="0"/>
                <w14:ligatures w14:val="none"/>
              </w:rPr>
              <w:t>V</w:t>
            </w:r>
          </w:p>
        </w:tc>
      </w:tr>
    </w:tbl>
    <w:p w14:paraId="27BDAD6F" w14:textId="77777777" w:rsidR="00BC0265" w:rsidRDefault="00BC0265" w:rsidP="00283FDC"/>
    <w:p w14:paraId="211A70D4" w14:textId="58F33DC5" w:rsidR="00F73BA6" w:rsidRDefault="00283FDC" w:rsidP="00C76D8D">
      <w:pPr>
        <w:jc w:val="both"/>
      </w:pPr>
      <w:r>
        <w:t>Battery will be intended for: Wholesale, Ancillary Services, Capacity Market, and Curtailment avoidance (Renewable integration or energy shifting)</w:t>
      </w:r>
      <w:r w:rsidR="2212C853">
        <w:t>.</w:t>
      </w:r>
      <w:r>
        <w:t> </w:t>
      </w:r>
      <w:r w:rsidR="2A8E4FEE">
        <w:t xml:space="preserve"> The Call specifically states the need to provide System Services (equivalent to the before mentioned operations).</w:t>
      </w:r>
      <w:r w:rsidR="00F66014">
        <w:t xml:space="preserve"> Battery must be designed with 100 MWh as minimum beginning of life (</w:t>
      </w:r>
      <w:proofErr w:type="spellStart"/>
      <w:r w:rsidR="00F66014">
        <w:t>BoL</w:t>
      </w:r>
      <w:proofErr w:type="spellEnd"/>
      <w:r w:rsidR="00F66014">
        <w:t xml:space="preserve">) usable capacity and must be operated for 19 years with </w:t>
      </w:r>
      <w:r w:rsidR="00B845AC">
        <w:t xml:space="preserve">548 cycles per year. </w:t>
      </w:r>
    </w:p>
    <w:p w14:paraId="2ECE4E6F" w14:textId="19047FC6" w:rsidR="1543FE98" w:rsidRDefault="007F4AFC" w:rsidP="035FCBD3">
      <w:pPr>
        <w:jc w:val="both"/>
      </w:pPr>
      <w:r>
        <w:t>The BESS</w:t>
      </w:r>
      <w:r w:rsidR="1543FE98">
        <w:t xml:space="preserve"> </w:t>
      </w:r>
      <w:r w:rsidR="00305B31">
        <w:t xml:space="preserve">must be </w:t>
      </w:r>
      <w:r w:rsidR="1543FE98">
        <w:t>prepared to operate in standard European markets, such as FCR</w:t>
      </w:r>
      <w:r w:rsidR="14810EBD">
        <w:t>,</w:t>
      </w:r>
      <w:r w:rsidR="3ADFC4B2">
        <w:t xml:space="preserve"> IGCC</w:t>
      </w:r>
      <w:r w:rsidR="1543FE98">
        <w:t>, aFRR</w:t>
      </w:r>
      <w:r w:rsidR="72A1422E">
        <w:t xml:space="preserve"> (PICASSO)</w:t>
      </w:r>
      <w:r w:rsidR="1543FE98">
        <w:t xml:space="preserve">, mFRR </w:t>
      </w:r>
      <w:r w:rsidR="35F4655E">
        <w:t xml:space="preserve">(MARI) </w:t>
      </w:r>
      <w:r w:rsidR="1543FE98">
        <w:t>and RR</w:t>
      </w:r>
      <w:r w:rsidR="5A5B91AC">
        <w:t xml:space="preserve"> (TERRE)</w:t>
      </w:r>
      <w:r w:rsidR="23A3C794">
        <w:t>, and complying with the Lithuanian conditions for such markets</w:t>
      </w:r>
      <w:r w:rsidR="1543FE98">
        <w:t>.</w:t>
      </w:r>
      <w:r w:rsidR="5B5427A0">
        <w:t xml:space="preserve"> </w:t>
      </w:r>
      <w:r>
        <w:t>A specific</w:t>
      </w:r>
      <w:r w:rsidR="5B5427A0">
        <w:t xml:space="preserve"> test to satisfy the local market conditions would be provided by the asset optimization partner</w:t>
      </w:r>
      <w:r w:rsidR="00DE13DB">
        <w:t>, co</w:t>
      </w:r>
      <w:r w:rsidR="0062145E">
        <w:t>mmonly referred as Route to Market (RtM)</w:t>
      </w:r>
      <w:r w:rsidR="5B5427A0">
        <w:t xml:space="preserve">. </w:t>
      </w:r>
    </w:p>
    <w:p w14:paraId="108757E2" w14:textId="77777777" w:rsidR="00F73BA6" w:rsidRDefault="00F73BA6">
      <w:r>
        <w:br w:type="page"/>
      </w:r>
    </w:p>
    <w:p w14:paraId="5BCDC600" w14:textId="77777777" w:rsidR="00283FDC" w:rsidRPr="00283FDC" w:rsidRDefault="00283FDC" w:rsidP="00283FDC"/>
    <w:p w14:paraId="0CFE5093" w14:textId="67921D21" w:rsidR="00B76A23" w:rsidRPr="008B6A6D" w:rsidRDefault="00A14961" w:rsidP="008B6A6D">
      <w:pPr>
        <w:pStyle w:val="ListParagraph"/>
        <w:numPr>
          <w:ilvl w:val="0"/>
          <w:numId w:val="18"/>
        </w:numPr>
        <w:rPr>
          <w:rFonts w:ascii="Avenir Next LT Pro" w:eastAsia="Aptos" w:hAnsi="Avenir Next LT Pro" w:cs="Aptos"/>
          <w:b/>
          <w:bCs/>
          <w:color w:val="156082"/>
          <w:spacing w:val="-3"/>
          <w:kern w:val="0"/>
          <w:sz w:val="28"/>
          <w:szCs w:val="28"/>
          <w:lang w:eastAsia="zh-CN"/>
          <w14:ligatures w14:val="none"/>
        </w:rPr>
      </w:pPr>
      <w:r w:rsidRPr="008B6A6D">
        <w:rPr>
          <w:rFonts w:ascii="Avenir Next LT Pro" w:eastAsia="Aptos" w:hAnsi="Avenir Next LT Pro" w:cs="Aptos"/>
          <w:b/>
          <w:bCs/>
          <w:color w:val="156082"/>
          <w:spacing w:val="-3"/>
          <w:kern w:val="0"/>
          <w:sz w:val="28"/>
          <w:szCs w:val="28"/>
          <w:lang w:eastAsia="zh-CN"/>
          <w14:ligatures w14:val="none"/>
        </w:rPr>
        <w:t>General specifications</w:t>
      </w:r>
    </w:p>
    <w:p w14:paraId="12C70BBB" w14:textId="4361DB51" w:rsidR="00246BCB" w:rsidRDefault="00682B59" w:rsidP="00246BCB">
      <w:pPr>
        <w:pStyle w:val="heading30"/>
        <w:spacing w:before="240" w:line="276" w:lineRule="auto"/>
      </w:pPr>
      <w:bookmarkStart w:id="10" w:name="_Toc171431153"/>
      <w:r>
        <w:t xml:space="preserve">6.1. </w:t>
      </w:r>
      <w:r w:rsidR="00246BCB">
        <w:t>Overview</w:t>
      </w:r>
      <w:bookmarkEnd w:id="10"/>
    </w:p>
    <w:p w14:paraId="7919CDC3" w14:textId="77777777" w:rsidR="00246BCB" w:rsidRPr="00345BFC" w:rsidRDefault="00246BCB" w:rsidP="00695469">
      <w:pPr>
        <w:pStyle w:val="ListParagraph"/>
        <w:numPr>
          <w:ilvl w:val="0"/>
          <w:numId w:val="8"/>
        </w:numPr>
        <w:suppressAutoHyphens/>
        <w:overflowPunct w:val="0"/>
        <w:spacing w:after="120" w:line="240" w:lineRule="auto"/>
        <w:jc w:val="both"/>
      </w:pPr>
      <w:bookmarkStart w:id="11" w:name="_Toc59100549"/>
      <w:r>
        <w:t xml:space="preserve">The Works consist of the supply, delivery to site (DDP Incoterms 2020), commissioning, and testing of the provided BESS equipment. The Works exclude the installation of the BESS and electrical and civil </w:t>
      </w:r>
      <w:proofErr w:type="spellStart"/>
      <w:r>
        <w:t>BoP</w:t>
      </w:r>
      <w:proofErr w:type="spellEnd"/>
      <w:r>
        <w:t xml:space="preserve"> works, which will be separately contracted by the Employer. </w:t>
      </w:r>
    </w:p>
    <w:p w14:paraId="4FE6BF3B" w14:textId="76125AC5" w:rsidR="00246BCB" w:rsidRPr="00345BFC" w:rsidRDefault="00246BCB" w:rsidP="00695469">
      <w:pPr>
        <w:pStyle w:val="ListParagraph"/>
        <w:numPr>
          <w:ilvl w:val="0"/>
          <w:numId w:val="8"/>
        </w:numPr>
        <w:suppressAutoHyphens/>
        <w:overflowPunct w:val="0"/>
        <w:spacing w:after="120" w:line="240" w:lineRule="auto"/>
        <w:jc w:val="both"/>
      </w:pPr>
      <w:r>
        <w:t>All equipment provided will be compliant with all local rules and regulations as set out in this document (chapter</w:t>
      </w:r>
      <w:r w:rsidR="00C14DF6">
        <w:t xml:space="preserve"> 6.12</w:t>
      </w:r>
      <w:r>
        <w:t>).</w:t>
      </w:r>
    </w:p>
    <w:p w14:paraId="407F2959" w14:textId="68BCE1F8" w:rsidR="00246BCB" w:rsidRPr="00345BFC" w:rsidRDefault="00246BCB" w:rsidP="00695469">
      <w:pPr>
        <w:pStyle w:val="ListParagraph"/>
        <w:numPr>
          <w:ilvl w:val="0"/>
          <w:numId w:val="8"/>
        </w:numPr>
        <w:suppressAutoHyphens/>
        <w:overflowPunct w:val="0"/>
        <w:spacing w:after="120" w:line="240" w:lineRule="auto"/>
        <w:jc w:val="both"/>
      </w:pPr>
      <w:r>
        <w:t xml:space="preserve">The installation of all supplied equipment that will be carried out by the </w:t>
      </w:r>
      <w:proofErr w:type="spellStart"/>
      <w:r>
        <w:t>BoP</w:t>
      </w:r>
      <w:proofErr w:type="spellEnd"/>
      <w:r>
        <w:t xml:space="preserve"> will be carried out according to the installation manuals provided by the Battery Supplier</w:t>
      </w:r>
      <w:r w:rsidR="007E6A00">
        <w:t>.</w:t>
      </w:r>
      <w:r>
        <w:t xml:space="preserve"> </w:t>
      </w:r>
    </w:p>
    <w:p w14:paraId="696200A3" w14:textId="77777777" w:rsidR="00246BCB" w:rsidRDefault="00246BCB" w:rsidP="00695469">
      <w:pPr>
        <w:pStyle w:val="ListParagraph"/>
        <w:numPr>
          <w:ilvl w:val="0"/>
          <w:numId w:val="8"/>
        </w:numPr>
        <w:suppressAutoHyphens/>
        <w:overflowPunct w:val="0"/>
        <w:spacing w:after="120" w:line="240" w:lineRule="auto"/>
        <w:jc w:val="both"/>
      </w:pPr>
      <w:r>
        <w:t>The Employer shall be responsible for the supply of all MV cables, (excluding the MV cables and cable glands from the step-up transformer to the RMU), the AC cables and cable glands between the Battery container and the MVS and any communication and auxiliary cables that are to be terminated from the MV substation and location of the BESS PPC/</w:t>
      </w:r>
      <w:proofErr w:type="gramStart"/>
      <w:r>
        <w:t>SCADA .</w:t>
      </w:r>
      <w:proofErr w:type="gramEnd"/>
    </w:p>
    <w:p w14:paraId="6FBF6E17" w14:textId="6331749E" w:rsidR="00246BCB" w:rsidRDefault="00246BCB" w:rsidP="00695469">
      <w:pPr>
        <w:pStyle w:val="ListParagraph"/>
        <w:numPr>
          <w:ilvl w:val="0"/>
          <w:numId w:val="8"/>
        </w:numPr>
        <w:suppressAutoHyphens/>
        <w:overflowPunct w:val="0"/>
        <w:spacing w:after="120" w:line="240" w:lineRule="auto"/>
        <w:jc w:val="both"/>
      </w:pPr>
      <w:r>
        <w:t xml:space="preserve">The BESS equipment provided by the Battery Supplier will be designed to operate for </w:t>
      </w:r>
      <w:r w:rsidR="00647494">
        <w:t xml:space="preserve">19 </w:t>
      </w:r>
      <w:r>
        <w:t>years, which is the lifetime of the project. The life of the project is assumed to start with the achievement of the Provisional Acceptance milestone by the Battery Supplier.</w:t>
      </w:r>
      <w:r w:rsidR="3AE08F83">
        <w:t xml:space="preserve"> </w:t>
      </w:r>
    </w:p>
    <w:p w14:paraId="1DEF5262" w14:textId="4E75DB63" w:rsidR="00246BCB" w:rsidRDefault="00246BCB" w:rsidP="00695469">
      <w:pPr>
        <w:pStyle w:val="ListParagraph"/>
        <w:numPr>
          <w:ilvl w:val="0"/>
          <w:numId w:val="8"/>
        </w:numPr>
        <w:suppressAutoHyphens/>
        <w:overflowPunct w:val="0"/>
        <w:spacing w:after="120" w:line="240" w:lineRule="auto"/>
        <w:jc w:val="both"/>
      </w:pPr>
      <w:r>
        <w:t>The BESS will be under normal conditions an unmanned facility and the Works will be operated and monitored remotely by the Employer</w:t>
      </w:r>
      <w:r w:rsidR="00FA499A">
        <w:t>.</w:t>
      </w:r>
    </w:p>
    <w:p w14:paraId="7C2104BD" w14:textId="0737A375" w:rsidR="00FA499A" w:rsidRDefault="0074281C" w:rsidP="00695469">
      <w:pPr>
        <w:pStyle w:val="ListParagraph"/>
        <w:numPr>
          <w:ilvl w:val="0"/>
          <w:numId w:val="8"/>
        </w:numPr>
        <w:suppressAutoHyphens/>
        <w:overflowPunct w:val="0"/>
        <w:spacing w:after="120" w:line="240" w:lineRule="auto"/>
        <w:jc w:val="both"/>
      </w:pPr>
      <w:r w:rsidRPr="0074281C">
        <w:t xml:space="preserve">The BESS Supplier shall support with relevant documentation the </w:t>
      </w:r>
      <w:proofErr w:type="spellStart"/>
      <w:r w:rsidRPr="0074281C">
        <w:t>BoP</w:t>
      </w:r>
      <w:proofErr w:type="spellEnd"/>
      <w:r w:rsidRPr="0074281C">
        <w:t xml:space="preserve"> Contractor to ensure the correct integration of the BESS system. This includes, but it is not limited, communication protocols.</w:t>
      </w:r>
    </w:p>
    <w:p w14:paraId="01382DFB" w14:textId="2DB94CC9" w:rsidR="00246BCB" w:rsidRDefault="00246BCB" w:rsidP="00695469">
      <w:pPr>
        <w:pStyle w:val="ListParagraph"/>
        <w:numPr>
          <w:ilvl w:val="0"/>
          <w:numId w:val="8"/>
        </w:numPr>
        <w:suppressAutoHyphens/>
        <w:overflowPunct w:val="0"/>
        <w:jc w:val="both"/>
      </w:pPr>
      <w:r>
        <w:t xml:space="preserve">The Battery Supplier is responsible for delivering a </w:t>
      </w:r>
      <w:r w:rsidR="007B42DD">
        <w:t>certificate</w:t>
      </w:r>
      <w:r>
        <w:t xml:space="preserve"> for operation in that will enable the BESS to operate in the following modes:</w:t>
      </w:r>
    </w:p>
    <w:p w14:paraId="6348A862" w14:textId="77777777" w:rsidR="00246BCB" w:rsidRDefault="00246BCB" w:rsidP="0056610C">
      <w:pPr>
        <w:pStyle w:val="ListParagraph"/>
        <w:numPr>
          <w:ilvl w:val="1"/>
          <w:numId w:val="8"/>
        </w:numPr>
        <w:jc w:val="both"/>
      </w:pPr>
      <w:r>
        <w:t>by the TSO</w:t>
      </w:r>
    </w:p>
    <w:p w14:paraId="7570AC43" w14:textId="62EACA3A" w:rsidR="00246BCB" w:rsidRDefault="00246BCB" w:rsidP="0056610C">
      <w:pPr>
        <w:pStyle w:val="ListParagraph"/>
        <w:numPr>
          <w:ilvl w:val="1"/>
          <w:numId w:val="8"/>
        </w:numPr>
        <w:jc w:val="both"/>
      </w:pPr>
      <w:r>
        <w:t>by an external party</w:t>
      </w:r>
      <w:r w:rsidR="549B7A28">
        <w:t xml:space="preserve">, for example a </w:t>
      </w:r>
      <w:r w:rsidR="549B7A28" w:rsidRPr="00EA437F">
        <w:rPr>
          <w:b/>
          <w:bCs/>
        </w:rPr>
        <w:t>Route to Market</w:t>
      </w:r>
      <w:r w:rsidRPr="00EA437F">
        <w:rPr>
          <w:b/>
          <w:bCs/>
        </w:rPr>
        <w:t xml:space="preserve"> (RtM)</w:t>
      </w:r>
      <w:r w:rsidR="12AC5951">
        <w:t xml:space="preserve"> partner.</w:t>
      </w:r>
    </w:p>
    <w:p w14:paraId="7E8D8AE2" w14:textId="77777777" w:rsidR="00246BCB" w:rsidRDefault="00246BCB" w:rsidP="0056610C">
      <w:pPr>
        <w:pStyle w:val="ListParagraph"/>
        <w:numPr>
          <w:ilvl w:val="1"/>
          <w:numId w:val="8"/>
        </w:numPr>
        <w:jc w:val="both"/>
      </w:pPr>
      <w:r>
        <w:t xml:space="preserve">automatically (based on a manually/ through interface set schedule) </w:t>
      </w:r>
    </w:p>
    <w:p w14:paraId="17160CBF" w14:textId="77777777" w:rsidR="00246BCB" w:rsidRDefault="00246BCB" w:rsidP="0056610C">
      <w:pPr>
        <w:pStyle w:val="ListParagraph"/>
        <w:numPr>
          <w:ilvl w:val="1"/>
          <w:numId w:val="8"/>
        </w:numPr>
        <w:jc w:val="both"/>
      </w:pPr>
      <w:r>
        <w:t>manually</w:t>
      </w:r>
    </w:p>
    <w:bookmarkEnd w:id="11"/>
    <w:p w14:paraId="43F3AC9D" w14:textId="2A59F10E" w:rsidR="00246BCB" w:rsidRDefault="00246BCB" w:rsidP="0056610C">
      <w:pPr>
        <w:pStyle w:val="standard"/>
        <w:numPr>
          <w:ilvl w:val="0"/>
          <w:numId w:val="8"/>
        </w:numPr>
        <w:spacing w:line="276" w:lineRule="auto"/>
        <w:jc w:val="both"/>
        <w:rPr>
          <w:rFonts w:asciiTheme="minorHAnsi" w:hAnsiTheme="minorHAnsi" w:cstheme="minorBidi"/>
          <w:sz w:val="22"/>
          <w:szCs w:val="22"/>
        </w:rPr>
      </w:pPr>
      <w:r w:rsidRPr="10FCEC34">
        <w:rPr>
          <w:rFonts w:asciiTheme="minorHAnsi" w:hAnsiTheme="minorHAnsi" w:cstheme="minorBidi"/>
          <w:sz w:val="22"/>
          <w:szCs w:val="22"/>
        </w:rPr>
        <w:t>The Battery Supplier shall comply with</w:t>
      </w:r>
      <w:r w:rsidR="00C84D92" w:rsidRPr="10FCEC34">
        <w:rPr>
          <w:rFonts w:asciiTheme="minorHAnsi" w:hAnsiTheme="minorHAnsi" w:cstheme="minorBidi"/>
          <w:sz w:val="22"/>
          <w:szCs w:val="22"/>
        </w:rPr>
        <w:t xml:space="preserve"> </w:t>
      </w:r>
      <w:r w:rsidRPr="10FCEC34">
        <w:rPr>
          <w:rFonts w:asciiTheme="minorHAnsi" w:hAnsiTheme="minorHAnsi" w:cstheme="minorBidi"/>
          <w:sz w:val="22"/>
          <w:szCs w:val="22"/>
        </w:rPr>
        <w:t xml:space="preserve">Aquila Capital HSE Minimum Requirements and the </w:t>
      </w:r>
      <w:proofErr w:type="spellStart"/>
      <w:r w:rsidRPr="10FCEC34">
        <w:rPr>
          <w:rFonts w:asciiTheme="minorHAnsi" w:hAnsiTheme="minorHAnsi" w:cstheme="minorBidi"/>
          <w:sz w:val="22"/>
          <w:szCs w:val="22"/>
        </w:rPr>
        <w:t>BoP</w:t>
      </w:r>
      <w:proofErr w:type="spellEnd"/>
      <w:r w:rsidRPr="10FCEC34">
        <w:rPr>
          <w:rFonts w:asciiTheme="minorHAnsi" w:hAnsiTheme="minorHAnsi" w:cstheme="minorBidi"/>
          <w:sz w:val="22"/>
          <w:szCs w:val="22"/>
        </w:rPr>
        <w:t xml:space="preserve"> Contractor’s HSE requirements on site.</w:t>
      </w:r>
    </w:p>
    <w:p w14:paraId="7631E9D5" w14:textId="77777777" w:rsidR="00246BCB" w:rsidRDefault="00246BCB" w:rsidP="0056610C">
      <w:pPr>
        <w:pStyle w:val="standard"/>
        <w:numPr>
          <w:ilvl w:val="0"/>
          <w:numId w:val="8"/>
        </w:numPr>
        <w:spacing w:line="276" w:lineRule="auto"/>
        <w:jc w:val="both"/>
        <w:rPr>
          <w:rFonts w:asciiTheme="minorHAnsi" w:hAnsiTheme="minorHAnsi" w:cstheme="minorBidi"/>
          <w:sz w:val="22"/>
          <w:szCs w:val="22"/>
        </w:rPr>
      </w:pPr>
      <w:r w:rsidRPr="10FCEC34">
        <w:rPr>
          <w:rFonts w:asciiTheme="minorHAnsi" w:hAnsiTheme="minorHAnsi" w:cstheme="minorBidi"/>
          <w:sz w:val="22"/>
          <w:szCs w:val="22"/>
        </w:rPr>
        <w:t>The Battery Supplier shall comply with the available working days/hours</w:t>
      </w:r>
    </w:p>
    <w:p w14:paraId="73E498AC" w14:textId="1E99FC4D" w:rsidR="00246BCB" w:rsidRDefault="00246BCB" w:rsidP="00682B59">
      <w:pPr>
        <w:pStyle w:val="heading30"/>
        <w:numPr>
          <w:ilvl w:val="1"/>
          <w:numId w:val="18"/>
        </w:numPr>
        <w:spacing w:before="240" w:line="276" w:lineRule="auto"/>
      </w:pPr>
      <w:bookmarkStart w:id="12" w:name="_Toc59100547"/>
      <w:bookmarkStart w:id="13" w:name="_Toc171431154"/>
      <w:r>
        <w:t>Permits</w:t>
      </w:r>
      <w:bookmarkEnd w:id="12"/>
      <w:bookmarkEnd w:id="13"/>
    </w:p>
    <w:p w14:paraId="23C1E7E9" w14:textId="1B7AE3FC" w:rsidR="00246BCB" w:rsidRDefault="00246BCB" w:rsidP="0056610C">
      <w:pPr>
        <w:pStyle w:val="Bulletliste"/>
        <w:spacing w:line="276" w:lineRule="auto"/>
        <w:jc w:val="both"/>
        <w:rPr>
          <w:rFonts w:asciiTheme="minorHAnsi" w:hAnsiTheme="minorHAnsi" w:cstheme="minorBidi"/>
          <w:sz w:val="22"/>
          <w:lang w:val="en-US" w:eastAsia="es-ES"/>
        </w:rPr>
      </w:pPr>
      <w:r w:rsidRPr="10FCEC34">
        <w:rPr>
          <w:rFonts w:asciiTheme="minorHAnsi" w:hAnsiTheme="minorHAnsi" w:cstheme="minorBidi"/>
          <w:sz w:val="22"/>
          <w:lang w:val="en-US" w:eastAsia="es-ES"/>
        </w:rPr>
        <w:t>The Employer will obtain and</w:t>
      </w:r>
      <w:r w:rsidR="00CD2E12">
        <w:rPr>
          <w:rFonts w:asciiTheme="minorHAnsi" w:hAnsiTheme="minorHAnsi" w:cstheme="minorBidi"/>
          <w:sz w:val="22"/>
          <w:lang w:val="en-US" w:eastAsia="es-ES"/>
        </w:rPr>
        <w:t>/or</w:t>
      </w:r>
      <w:r w:rsidRPr="10FCEC34">
        <w:rPr>
          <w:rFonts w:asciiTheme="minorHAnsi" w:hAnsiTheme="minorHAnsi" w:cstheme="minorBidi"/>
          <w:sz w:val="22"/>
          <w:lang w:val="en-US" w:eastAsia="es-ES"/>
        </w:rPr>
        <w:t xml:space="preserve"> coordinate:</w:t>
      </w:r>
    </w:p>
    <w:p w14:paraId="60EA9EFF" w14:textId="77777777" w:rsidR="00246BCB" w:rsidRDefault="00246BCB" w:rsidP="0056610C">
      <w:pPr>
        <w:pStyle w:val="Bulletliste"/>
        <w:spacing w:line="276" w:lineRule="auto"/>
        <w:ind w:left="851"/>
        <w:jc w:val="both"/>
        <w:rPr>
          <w:rStyle w:val="ListParagraphChar"/>
          <w:rFonts w:asciiTheme="minorHAnsi" w:hAnsiTheme="minorHAnsi" w:cstheme="minorBidi"/>
          <w:sz w:val="22"/>
          <w:lang w:val="en-US"/>
        </w:rPr>
      </w:pPr>
      <w:r w:rsidRPr="10FCEC34">
        <w:rPr>
          <w:rStyle w:val="ListParagraphChar"/>
          <w:rFonts w:asciiTheme="minorHAnsi" w:hAnsiTheme="minorHAnsi" w:cstheme="minorBidi"/>
          <w:sz w:val="22"/>
          <w:lang w:val="en-US"/>
        </w:rPr>
        <w:t>The electrical connection agreement for the site.</w:t>
      </w:r>
    </w:p>
    <w:p w14:paraId="23E2962C" w14:textId="77777777" w:rsidR="00246BCB" w:rsidRDefault="00246BCB" w:rsidP="0056610C">
      <w:pPr>
        <w:pStyle w:val="Bulletliste"/>
        <w:spacing w:line="276" w:lineRule="auto"/>
        <w:ind w:left="851"/>
        <w:jc w:val="both"/>
        <w:rPr>
          <w:rStyle w:val="ListParagraphChar"/>
          <w:rFonts w:asciiTheme="minorHAnsi" w:hAnsiTheme="minorHAnsi" w:cstheme="minorBidi"/>
          <w:sz w:val="22"/>
          <w:lang w:val="en-US"/>
        </w:rPr>
      </w:pPr>
      <w:r w:rsidRPr="10FCEC34">
        <w:rPr>
          <w:rStyle w:val="ListParagraphChar"/>
          <w:rFonts w:asciiTheme="minorHAnsi" w:hAnsiTheme="minorHAnsi" w:cstheme="minorBidi"/>
          <w:sz w:val="22"/>
          <w:lang w:val="en-US"/>
        </w:rPr>
        <w:t>The Lease agreement.</w:t>
      </w:r>
    </w:p>
    <w:p w14:paraId="46A7E14A" w14:textId="77777777" w:rsidR="00246BCB" w:rsidRDefault="00246BCB" w:rsidP="0056610C">
      <w:pPr>
        <w:pStyle w:val="Bulletliste"/>
        <w:spacing w:line="276" w:lineRule="auto"/>
        <w:ind w:left="851"/>
        <w:jc w:val="both"/>
        <w:rPr>
          <w:rStyle w:val="ListParagraphChar"/>
          <w:rFonts w:asciiTheme="minorHAnsi" w:hAnsiTheme="minorHAnsi" w:cstheme="minorBidi"/>
          <w:sz w:val="22"/>
          <w:lang w:val="en-US"/>
        </w:rPr>
      </w:pPr>
      <w:r w:rsidRPr="10FCEC34">
        <w:rPr>
          <w:rStyle w:val="ListParagraphChar"/>
          <w:rFonts w:asciiTheme="minorHAnsi" w:hAnsiTheme="minorHAnsi" w:cstheme="minorBidi"/>
          <w:sz w:val="22"/>
          <w:lang w:val="en-US"/>
        </w:rPr>
        <w:t>The building permit.</w:t>
      </w:r>
    </w:p>
    <w:p w14:paraId="317A9C6A" w14:textId="77777777" w:rsidR="00246BCB" w:rsidRDefault="00246BCB" w:rsidP="0056610C">
      <w:pPr>
        <w:pStyle w:val="Bulletliste"/>
        <w:spacing w:line="276" w:lineRule="auto"/>
        <w:ind w:left="851"/>
        <w:jc w:val="both"/>
        <w:rPr>
          <w:rStyle w:val="ListParagraphChar"/>
          <w:rFonts w:asciiTheme="minorHAnsi" w:hAnsiTheme="minorHAnsi" w:cstheme="minorBidi"/>
          <w:sz w:val="22"/>
          <w:lang w:val="en-US"/>
        </w:rPr>
      </w:pPr>
      <w:r w:rsidRPr="10FCEC34">
        <w:rPr>
          <w:rStyle w:val="ListParagraphChar"/>
          <w:rFonts w:asciiTheme="minorHAnsi" w:hAnsiTheme="minorHAnsi" w:cstheme="minorBidi"/>
          <w:sz w:val="22"/>
          <w:lang w:val="en-US"/>
        </w:rPr>
        <w:lastRenderedPageBreak/>
        <w:t>Any permits, licenses and authorizations which only the Employer can obtain as a matter of law or procedural requirement, and which are necessary for the fulfilment of the obligations of the Battery Supplier.</w:t>
      </w:r>
    </w:p>
    <w:p w14:paraId="47CF61C1" w14:textId="77777777" w:rsidR="00246BCB" w:rsidRDefault="00246BCB" w:rsidP="0056610C">
      <w:pPr>
        <w:pStyle w:val="Bulletliste"/>
        <w:spacing w:line="276" w:lineRule="auto"/>
        <w:ind w:left="851"/>
        <w:jc w:val="both"/>
        <w:rPr>
          <w:rStyle w:val="ListParagraphChar"/>
          <w:rFonts w:asciiTheme="minorHAnsi" w:hAnsiTheme="minorHAnsi" w:cstheme="minorBidi"/>
          <w:sz w:val="22"/>
          <w:lang w:val="en-US"/>
        </w:rPr>
      </w:pPr>
      <w:r w:rsidRPr="10FCEC34">
        <w:rPr>
          <w:rStyle w:val="ListParagraphChar"/>
          <w:rFonts w:asciiTheme="minorHAnsi" w:hAnsiTheme="minorHAnsi" w:cstheme="minorBidi"/>
          <w:sz w:val="22"/>
          <w:lang w:val="en-US"/>
        </w:rPr>
        <w:t>Any permits, licenses, consents, notifications and authorizations arising as a requirement of or in connection with the lease agreement and associated property and planning documentation.</w:t>
      </w:r>
    </w:p>
    <w:p w14:paraId="79E5FB62" w14:textId="77777777" w:rsidR="00246BCB" w:rsidRDefault="00246BCB" w:rsidP="0056610C">
      <w:pPr>
        <w:pStyle w:val="Bulletliste"/>
        <w:spacing w:line="276" w:lineRule="auto"/>
        <w:ind w:left="851"/>
        <w:jc w:val="both"/>
        <w:rPr>
          <w:rStyle w:val="ListParagraphChar"/>
          <w:rFonts w:asciiTheme="minorHAnsi" w:hAnsiTheme="minorHAnsi" w:cstheme="minorBidi"/>
          <w:sz w:val="22"/>
          <w:lang w:val="en-US"/>
        </w:rPr>
      </w:pPr>
      <w:r w:rsidRPr="10FCEC34">
        <w:rPr>
          <w:rStyle w:val="ListParagraphChar"/>
          <w:rFonts w:asciiTheme="minorHAnsi" w:hAnsiTheme="minorHAnsi" w:cstheme="minorBidi"/>
          <w:sz w:val="22"/>
          <w:lang w:val="en-US"/>
        </w:rPr>
        <w:t>Any works required by the Transmission System Operator (TSO) to interconnect the compounds.</w:t>
      </w:r>
    </w:p>
    <w:p w14:paraId="06390B9B" w14:textId="449521A7" w:rsidR="00F02C8A" w:rsidRDefault="00F02C8A" w:rsidP="00682B59">
      <w:pPr>
        <w:pStyle w:val="heading30"/>
        <w:numPr>
          <w:ilvl w:val="1"/>
          <w:numId w:val="18"/>
        </w:numPr>
        <w:spacing w:before="240" w:line="276" w:lineRule="auto"/>
      </w:pPr>
      <w:bookmarkStart w:id="14" w:name="_Toc171431157"/>
      <w:r>
        <w:t>Performance metering</w:t>
      </w:r>
      <w:bookmarkEnd w:id="14"/>
    </w:p>
    <w:p w14:paraId="557EF04E" w14:textId="6EFB0A44" w:rsidR="00F02C8A" w:rsidRPr="00F56C7C" w:rsidRDefault="00F02C8A" w:rsidP="00E92F67">
      <w:pPr>
        <w:jc w:val="both"/>
      </w:pPr>
      <w:r w:rsidRPr="00F56C7C">
        <w:t xml:space="preserve">The Battery Supplier will provide the Employer a list of recommended PQM meters that shall be used for the asset’s performance assessments and operations by latest 2 months from execution of the Supply agreement. </w:t>
      </w:r>
      <w:r w:rsidRPr="00F56C7C">
        <w:rPr>
          <w:lang w:val="en-GB"/>
        </w:rPr>
        <w:t xml:space="preserve">The Employer shall ensure that the suggested meters are compliant with local rules and regulations and shall consider any measurement requirements from the </w:t>
      </w:r>
      <w:r w:rsidR="003F35FD">
        <w:t xml:space="preserve">Lithuanian </w:t>
      </w:r>
      <w:r w:rsidRPr="00F56C7C">
        <w:t>DSO/TSOs.</w:t>
      </w:r>
      <w:r w:rsidRPr="00F56C7C">
        <w:rPr>
          <w:lang w:val="en-GB"/>
        </w:rPr>
        <w:t xml:space="preserve"> If none of the PQM meters were compliant, the Battery Supplier shall identify a new list within 30 days of notification by the Employer</w:t>
      </w:r>
    </w:p>
    <w:p w14:paraId="01D5C69E" w14:textId="0CDBED0A" w:rsidR="00F02C8A" w:rsidRPr="00F56C7C" w:rsidRDefault="00F02C8A" w:rsidP="00E92F67">
      <w:pPr>
        <w:jc w:val="both"/>
      </w:pPr>
      <w:r w:rsidRPr="00F56C7C">
        <w:t xml:space="preserve">The Employer is to procure and install the meter on behalf of the Battery Supplier. </w:t>
      </w:r>
    </w:p>
    <w:p w14:paraId="01314C8E" w14:textId="5271F6DD" w:rsidR="00F02C8A" w:rsidRPr="00F56C7C" w:rsidRDefault="00F02C8A" w:rsidP="00E92F67">
      <w:pPr>
        <w:jc w:val="both"/>
      </w:pPr>
      <w:r w:rsidRPr="00F56C7C">
        <w:t>The Battery Supplier is to setup the meter and integrate it within its controller.</w:t>
      </w:r>
    </w:p>
    <w:p w14:paraId="5B529D0F" w14:textId="77777777" w:rsidR="00F02C8A" w:rsidRDefault="00F02C8A" w:rsidP="00F02C8A"/>
    <w:p w14:paraId="0B601F24" w14:textId="77777777" w:rsidR="00F02C8A" w:rsidRDefault="00F02C8A" w:rsidP="00682B59">
      <w:pPr>
        <w:pStyle w:val="heading30"/>
        <w:numPr>
          <w:ilvl w:val="1"/>
          <w:numId w:val="18"/>
        </w:numPr>
        <w:spacing w:before="240" w:line="276" w:lineRule="auto"/>
      </w:pPr>
      <w:bookmarkStart w:id="15" w:name="_Toc171431158"/>
      <w:r>
        <w:t>Internet</w:t>
      </w:r>
      <w:bookmarkEnd w:id="15"/>
      <w:r>
        <w:t xml:space="preserve"> </w:t>
      </w:r>
    </w:p>
    <w:p w14:paraId="01974E85" w14:textId="01E00325" w:rsidR="00F02C8A" w:rsidRDefault="00F02C8A" w:rsidP="00F02C8A">
      <w:pPr>
        <w:jc w:val="both"/>
      </w:pPr>
      <w:bookmarkStart w:id="16" w:name="_Toc171431159"/>
      <w:r w:rsidRPr="1C25FFD6">
        <w:t xml:space="preserve">The Employer shall be responsible for the installation and availability of a permanent internet connection </w:t>
      </w:r>
    </w:p>
    <w:p w14:paraId="24ABFEC3" w14:textId="56D7F37E" w:rsidR="00F02C8A" w:rsidRPr="00D80F57" w:rsidRDefault="00F02C8A" w:rsidP="00F02C8A">
      <w:pPr>
        <w:jc w:val="both"/>
      </w:pPr>
      <w:r>
        <w:t xml:space="preserve">The Battery Supplier shall confirm during the commissioning of the project that the internet connection </w:t>
      </w:r>
      <w:r w:rsidR="00327AB0">
        <w:t>meets</w:t>
      </w:r>
      <w:r>
        <w:t xml:space="preserve"> </w:t>
      </w:r>
      <w:r w:rsidR="00C707B1">
        <w:t>its communication</w:t>
      </w:r>
      <w:r>
        <w:t xml:space="preserve"> requirements</w:t>
      </w:r>
      <w:r w:rsidR="00C707B1">
        <w:t>.</w:t>
      </w:r>
    </w:p>
    <w:p w14:paraId="75594C64" w14:textId="77777777" w:rsidR="00F02C8A" w:rsidRDefault="00F02C8A" w:rsidP="00682B59">
      <w:pPr>
        <w:pStyle w:val="heading30"/>
        <w:numPr>
          <w:ilvl w:val="1"/>
          <w:numId w:val="18"/>
        </w:numPr>
        <w:spacing w:before="240" w:line="276" w:lineRule="auto"/>
      </w:pPr>
      <w:r>
        <w:t>Auxiliary power</w:t>
      </w:r>
      <w:bookmarkEnd w:id="16"/>
    </w:p>
    <w:p w14:paraId="7DD47D97" w14:textId="599F10ED" w:rsidR="00F02C8A" w:rsidRPr="00395550" w:rsidRDefault="00F02C8A" w:rsidP="00F02C8A">
      <w:pPr>
        <w:jc w:val="both"/>
      </w:pPr>
      <w:r w:rsidRPr="00DD1773">
        <w:rPr>
          <w:lang w:val="en-GB"/>
        </w:rPr>
        <w:t>The Employer shall be responsible of providing</w:t>
      </w:r>
      <w:r w:rsidR="00475F70" w:rsidRPr="00DD1773">
        <w:rPr>
          <w:lang w:val="en-GB"/>
        </w:rPr>
        <w:t xml:space="preserve"> power to the </w:t>
      </w:r>
      <w:r w:rsidR="00FD0B37" w:rsidRPr="00DD1773">
        <w:rPr>
          <w:lang w:val="en-GB"/>
        </w:rPr>
        <w:t xml:space="preserve">BESS auxiliary </w:t>
      </w:r>
      <w:r w:rsidR="00050EB1" w:rsidRPr="00DD1773">
        <w:rPr>
          <w:lang w:val="en-GB"/>
        </w:rPr>
        <w:t>services, there</w:t>
      </w:r>
      <w:r w:rsidR="00206B7E" w:rsidRPr="00DD1773">
        <w:rPr>
          <w:lang w:val="en-GB"/>
        </w:rPr>
        <w:t xml:space="preserve"> is </w:t>
      </w:r>
      <w:r w:rsidRPr="00DD1773">
        <w:rPr>
          <w:lang w:val="en-GB"/>
        </w:rPr>
        <w:t xml:space="preserve">a </w:t>
      </w:r>
      <w:r w:rsidR="0063276A" w:rsidRPr="00DD1773">
        <w:rPr>
          <w:color w:val="000000" w:themeColor="text1"/>
          <w:lang w:val="en-GB"/>
        </w:rPr>
        <w:t>50</w:t>
      </w:r>
      <w:r w:rsidRPr="00DD1773">
        <w:rPr>
          <w:color w:val="000000" w:themeColor="text1"/>
          <w:lang w:val="en-GB"/>
        </w:rPr>
        <w:t xml:space="preserve"> </w:t>
      </w:r>
      <w:r w:rsidR="0063276A" w:rsidRPr="00DD1773">
        <w:rPr>
          <w:color w:val="000000" w:themeColor="text1"/>
          <w:lang w:val="en-GB"/>
        </w:rPr>
        <w:t xml:space="preserve">kVA </w:t>
      </w:r>
      <w:r w:rsidR="00206B7E" w:rsidRPr="00DD1773">
        <w:rPr>
          <w:color w:val="000000" w:themeColor="text1"/>
          <w:lang w:val="en-GB"/>
        </w:rPr>
        <w:t>3</w:t>
      </w:r>
      <w:r w:rsidR="009E071C">
        <w:rPr>
          <w:color w:val="000000" w:themeColor="text1"/>
          <w:lang w:val="en-GB"/>
        </w:rPr>
        <w:t>3</w:t>
      </w:r>
      <w:r w:rsidR="00206B7E" w:rsidRPr="00DD1773">
        <w:rPr>
          <w:color w:val="000000" w:themeColor="text1"/>
          <w:lang w:val="en-GB"/>
        </w:rPr>
        <w:t xml:space="preserve"> </w:t>
      </w:r>
      <w:r w:rsidRPr="00DD1773">
        <w:rPr>
          <w:color w:val="000000" w:themeColor="text1"/>
          <w:lang w:val="en-GB"/>
        </w:rPr>
        <w:t>kV/400</w:t>
      </w:r>
      <w:r w:rsidR="00206B7E" w:rsidRPr="00DD1773">
        <w:rPr>
          <w:color w:val="000000" w:themeColor="text1"/>
          <w:lang w:val="en-GB"/>
        </w:rPr>
        <w:t>-230</w:t>
      </w:r>
      <w:r w:rsidR="1CD4596C" w:rsidRPr="00DD1773">
        <w:rPr>
          <w:color w:val="000000" w:themeColor="text1"/>
          <w:lang w:val="en-GB"/>
        </w:rPr>
        <w:t xml:space="preserve"> </w:t>
      </w:r>
      <w:r w:rsidRPr="00DD1773">
        <w:rPr>
          <w:color w:val="000000" w:themeColor="text1"/>
          <w:lang w:val="en-GB"/>
        </w:rPr>
        <w:t xml:space="preserve">V </w:t>
      </w:r>
      <w:r w:rsidRPr="00DD1773">
        <w:rPr>
          <w:lang w:val="en-GB"/>
        </w:rPr>
        <w:t>auxiliary transformer</w:t>
      </w:r>
      <w:r w:rsidR="000D281A">
        <w:rPr>
          <w:lang w:val="en-GB"/>
        </w:rPr>
        <w:t>,</w:t>
      </w:r>
      <w:r w:rsidR="006603FD" w:rsidRPr="00DD1773">
        <w:rPr>
          <w:lang w:val="en-GB"/>
        </w:rPr>
        <w:t xml:space="preserve"> </w:t>
      </w:r>
      <w:r w:rsidRPr="00DD1773">
        <w:rPr>
          <w:lang w:val="en-GB"/>
        </w:rPr>
        <w:t xml:space="preserve">the Battery Supplier </w:t>
      </w:r>
      <w:r w:rsidR="00C92B28" w:rsidRPr="00DD1773">
        <w:rPr>
          <w:lang w:val="en-GB"/>
        </w:rPr>
        <w:t xml:space="preserve">will confirm </w:t>
      </w:r>
      <w:r w:rsidR="00151820" w:rsidRPr="00DD1773">
        <w:rPr>
          <w:lang w:val="en-GB"/>
        </w:rPr>
        <w:t xml:space="preserve">the aux load </w:t>
      </w:r>
      <w:r w:rsidR="00BE6430">
        <w:rPr>
          <w:lang w:val="en-GB"/>
        </w:rPr>
        <w:t xml:space="preserve">required </w:t>
      </w:r>
      <w:r w:rsidR="00151820" w:rsidRPr="00DD1773">
        <w:rPr>
          <w:lang w:val="en-GB"/>
        </w:rPr>
        <w:t xml:space="preserve">for </w:t>
      </w:r>
      <w:r w:rsidR="00363829" w:rsidRPr="00DD1773">
        <w:rPr>
          <w:lang w:val="en-GB"/>
        </w:rPr>
        <w:t>the batterie</w:t>
      </w:r>
      <w:r w:rsidR="005D4291" w:rsidRPr="00DD1773">
        <w:rPr>
          <w:lang w:val="en-GB"/>
        </w:rPr>
        <w:t>s</w:t>
      </w:r>
      <w:r w:rsidR="00DD1773" w:rsidRPr="00DD1773">
        <w:rPr>
          <w:lang w:val="en-GB"/>
        </w:rPr>
        <w:t>, the</w:t>
      </w:r>
      <w:r w:rsidRPr="00DD1773">
        <w:rPr>
          <w:lang w:val="en-GB"/>
        </w:rPr>
        <w:t xml:space="preserve"> LV switchboard and the necessary cabling and termination for the auxiliary needs of the Battery Supplier’s BIC equipment. </w:t>
      </w:r>
      <w:r w:rsidRPr="00DD1773">
        <w:t>The Battery Supplier shall provide relevant information to the Employer.</w:t>
      </w:r>
      <w:r>
        <w:t xml:space="preserve"> </w:t>
      </w:r>
      <w:r w:rsidR="00BB1375">
        <w:t xml:space="preserve">For the purposes of internal calculations, the supplier shall deliver an </w:t>
      </w:r>
      <w:r w:rsidR="009F50E9">
        <w:t>auxiliary’s</w:t>
      </w:r>
      <w:r w:rsidR="00BB1375">
        <w:t xml:space="preserve"> </w:t>
      </w:r>
      <w:r w:rsidR="00671A18">
        <w:t>consumption</w:t>
      </w:r>
      <w:r w:rsidR="00EE5D99">
        <w:t xml:space="preserve"> per year calculation, explaining their assumptions with</w:t>
      </w:r>
      <w:r w:rsidR="009768F5">
        <w:t xml:space="preserve"> a </w:t>
      </w:r>
      <w:r w:rsidR="00AD5B6F">
        <w:t xml:space="preserve">formula. </w:t>
      </w:r>
      <w:r w:rsidR="002F5F59">
        <w:t xml:space="preserve">KPI shall be </w:t>
      </w:r>
      <w:r w:rsidR="001C6A42">
        <w:t xml:space="preserve">table of </w:t>
      </w:r>
      <w:r w:rsidR="00F449E6">
        <w:t>kWh/year</w:t>
      </w:r>
      <w:r w:rsidR="00C97876">
        <w:t xml:space="preserve"> of </w:t>
      </w:r>
      <w:r w:rsidR="001C6A42">
        <w:t>auxiliary</w:t>
      </w:r>
      <w:r w:rsidR="00C97876">
        <w:t xml:space="preserve"> consumption</w:t>
      </w:r>
      <w:r w:rsidR="00051F32">
        <w:t xml:space="preserve"> for the lifetime of the project</w:t>
      </w:r>
      <w:r w:rsidR="001C6A42">
        <w:t xml:space="preserve">. </w:t>
      </w:r>
    </w:p>
    <w:p w14:paraId="5BE3099B" w14:textId="77777777" w:rsidR="00F02C8A" w:rsidRDefault="00F02C8A" w:rsidP="00F02C8A"/>
    <w:p w14:paraId="2FF473F9" w14:textId="06132F83" w:rsidR="00F02C8A" w:rsidRDefault="00F02C8A" w:rsidP="00682B59">
      <w:pPr>
        <w:pStyle w:val="heading30"/>
        <w:numPr>
          <w:ilvl w:val="1"/>
          <w:numId w:val="18"/>
        </w:numPr>
        <w:spacing w:before="240" w:line="276" w:lineRule="auto"/>
      </w:pPr>
      <w:bookmarkStart w:id="17" w:name="_Toc171431160"/>
      <w:r>
        <w:lastRenderedPageBreak/>
        <w:t>Reactive Power</w:t>
      </w:r>
      <w:bookmarkEnd w:id="17"/>
      <w:r w:rsidR="521FAA9E">
        <w:t>/Converter Systems</w:t>
      </w:r>
    </w:p>
    <w:p w14:paraId="368EE83E" w14:textId="588A6768" w:rsidR="00F02C8A" w:rsidRPr="005A3F21" w:rsidRDefault="72B9EA97" w:rsidP="7449792B">
      <w:pPr>
        <w:jc w:val="both"/>
      </w:pPr>
      <w:r>
        <w:t xml:space="preserve">The converters supplied should be able to provide and consume reactive power </w:t>
      </w:r>
      <w:r w:rsidR="08C18B0C">
        <w:t xml:space="preserve">in the voltage ranges defined at </w:t>
      </w:r>
      <w:r w:rsidR="008F7238">
        <w:rPr>
          <w:i/>
          <w:iCs/>
        </w:rPr>
        <w:t xml:space="preserve">attached Annex </w:t>
      </w:r>
      <w:r w:rsidR="00095B7F">
        <w:rPr>
          <w:i/>
          <w:iCs/>
        </w:rPr>
        <w:t>4</w:t>
      </w:r>
      <w:r w:rsidR="008F7238">
        <w:rPr>
          <w:i/>
          <w:iCs/>
        </w:rPr>
        <w:t xml:space="preserve"> </w:t>
      </w:r>
      <w:r w:rsidR="6F0C71E2" w:rsidRPr="5949ABDC">
        <w:rPr>
          <w:i/>
          <w:iCs/>
        </w:rPr>
        <w:t>(or the most updated version of this document)</w:t>
      </w:r>
      <w:r>
        <w:t>. Also</w:t>
      </w:r>
      <w:r w:rsidR="73CFB6AA">
        <w:t>,</w:t>
      </w:r>
      <w:r>
        <w:t xml:space="preserve"> the </w:t>
      </w:r>
      <w:r w:rsidR="37E508A5">
        <w:t xml:space="preserve">provided converters should demonstrate </w:t>
      </w:r>
      <w:r w:rsidR="38EFD758">
        <w:t xml:space="preserve">documentation that proves </w:t>
      </w:r>
      <w:r w:rsidR="37E508A5">
        <w:t xml:space="preserve">acceptance by local entities to operate </w:t>
      </w:r>
      <w:r w:rsidR="5504184B">
        <w:t>in</w:t>
      </w:r>
      <w:r w:rsidR="37E508A5">
        <w:t xml:space="preserve"> </w:t>
      </w:r>
      <w:r w:rsidR="003F35FD">
        <w:t xml:space="preserve">Lithuanian </w:t>
      </w:r>
      <w:r w:rsidR="37E508A5">
        <w:t xml:space="preserve">electrical grid. </w:t>
      </w:r>
      <w:r w:rsidR="1D048EDF">
        <w:t xml:space="preserve">It is required that the supplier provide all PSSE and </w:t>
      </w:r>
      <w:proofErr w:type="spellStart"/>
      <w:r w:rsidR="000B282E">
        <w:t>D</w:t>
      </w:r>
      <w:r w:rsidR="1D048EDF">
        <w:t>ig</w:t>
      </w:r>
      <w:r w:rsidR="000B282E">
        <w:t>s</w:t>
      </w:r>
      <w:r w:rsidR="1D048EDF">
        <w:t>ilent</w:t>
      </w:r>
      <w:proofErr w:type="spellEnd"/>
      <w:r w:rsidR="1D048EDF">
        <w:t xml:space="preserve"> models </w:t>
      </w:r>
      <w:proofErr w:type="gramStart"/>
      <w:r w:rsidR="1D048EDF">
        <w:t>in order to</w:t>
      </w:r>
      <w:proofErr w:type="gramEnd"/>
      <w:r w:rsidR="1D048EDF">
        <w:t xml:space="preserve"> perform and </w:t>
      </w:r>
      <w:r w:rsidR="00D325D9">
        <w:t>cooperate with</w:t>
      </w:r>
      <w:r w:rsidR="1D048EDF">
        <w:t xml:space="preserve"> all required </w:t>
      </w:r>
      <w:r w:rsidR="14B951E0">
        <w:t>electrical studies.</w:t>
      </w:r>
    </w:p>
    <w:tbl>
      <w:tblPr>
        <w:tblW w:w="0" w:type="auto"/>
        <w:tblLayout w:type="fixed"/>
        <w:tblLook w:val="04A0" w:firstRow="1" w:lastRow="0" w:firstColumn="1" w:lastColumn="0" w:noHBand="0" w:noVBand="1"/>
      </w:tblPr>
      <w:tblGrid>
        <w:gridCol w:w="2214"/>
        <w:gridCol w:w="7118"/>
      </w:tblGrid>
      <w:tr w:rsidR="7449792B" w14:paraId="59B17432" w14:textId="77777777" w:rsidTr="5949ABDC">
        <w:trPr>
          <w:trHeight w:val="60"/>
        </w:trPr>
        <w:tc>
          <w:tcPr>
            <w:tcW w:w="2214"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tcPr>
          <w:p w14:paraId="7CB90770" w14:textId="4614EFE7" w:rsidR="7449792B" w:rsidRDefault="7449792B" w:rsidP="005A3F21">
            <w:pPr>
              <w:spacing w:line="257" w:lineRule="auto"/>
              <w:rPr>
                <w:rFonts w:ascii="Calibri" w:eastAsia="Calibri" w:hAnsi="Calibri" w:cs="Calibri"/>
                <w:b/>
                <w:bCs/>
                <w:color w:val="000000" w:themeColor="text1"/>
                <w:lang w:val="en-GB"/>
              </w:rPr>
            </w:pPr>
            <w:r w:rsidRPr="7449792B">
              <w:rPr>
                <w:rFonts w:ascii="Calibri" w:eastAsia="Calibri" w:hAnsi="Calibri" w:cs="Calibri"/>
                <w:b/>
                <w:bCs/>
                <w:color w:val="000000" w:themeColor="text1"/>
                <w:lang w:val="en-GB"/>
              </w:rPr>
              <w:t>Topic</w:t>
            </w:r>
          </w:p>
        </w:tc>
        <w:tc>
          <w:tcPr>
            <w:tcW w:w="7118"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tcPr>
          <w:p w14:paraId="14133F9F" w14:textId="1D78AC9E" w:rsidR="7449792B" w:rsidRDefault="7449792B" w:rsidP="005A3F21">
            <w:pPr>
              <w:spacing w:line="257" w:lineRule="auto"/>
              <w:rPr>
                <w:rFonts w:ascii="Calibri" w:eastAsia="Calibri" w:hAnsi="Calibri" w:cs="Calibri"/>
                <w:b/>
                <w:bCs/>
                <w:color w:val="000000" w:themeColor="text1"/>
                <w:lang w:val="en-GB"/>
              </w:rPr>
            </w:pPr>
            <w:r w:rsidRPr="7449792B">
              <w:rPr>
                <w:rFonts w:ascii="Calibri" w:eastAsia="Calibri" w:hAnsi="Calibri" w:cs="Calibri"/>
                <w:b/>
                <w:bCs/>
                <w:color w:val="000000" w:themeColor="text1"/>
                <w:lang w:val="en-GB"/>
              </w:rPr>
              <w:t>Requirement</w:t>
            </w:r>
          </w:p>
        </w:tc>
      </w:tr>
      <w:tr w:rsidR="7449792B" w14:paraId="51E6CC32" w14:textId="77777777" w:rsidTr="5949ABDC">
        <w:trPr>
          <w:trHeight w:val="300"/>
        </w:trPr>
        <w:tc>
          <w:tcPr>
            <w:tcW w:w="2214"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098B3AEE" w14:textId="26862348" w:rsidR="7449792B" w:rsidRDefault="7449792B" w:rsidP="005A3F21">
            <w:pPr>
              <w:spacing w:line="257" w:lineRule="auto"/>
              <w:rPr>
                <w:rFonts w:ascii="Calibri" w:eastAsia="Calibri" w:hAnsi="Calibri" w:cs="Calibri"/>
                <w:lang w:val="en-GB"/>
              </w:rPr>
            </w:pPr>
            <w:r w:rsidRPr="7449792B">
              <w:rPr>
                <w:rFonts w:ascii="Calibri" w:eastAsia="Calibri" w:hAnsi="Calibri" w:cs="Calibri"/>
                <w:lang w:val="en-GB"/>
              </w:rPr>
              <w:t>Electrical requirements</w:t>
            </w:r>
          </w:p>
        </w:tc>
        <w:tc>
          <w:tcPr>
            <w:tcW w:w="7118" w:type="dxa"/>
            <w:tcBorders>
              <w:top w:val="single" w:sz="8" w:space="0" w:color="auto"/>
              <w:left w:val="single" w:sz="8" w:space="0" w:color="auto"/>
              <w:bottom w:val="single" w:sz="8" w:space="0" w:color="auto"/>
              <w:right w:val="single" w:sz="8" w:space="0" w:color="auto"/>
            </w:tcBorders>
            <w:tcMar>
              <w:left w:w="108" w:type="dxa"/>
              <w:right w:w="108" w:type="dxa"/>
            </w:tcMar>
          </w:tcPr>
          <w:p w14:paraId="2A61FB8A" w14:textId="1437379D" w:rsidR="7449792B" w:rsidRDefault="7449792B" w:rsidP="005A3F21">
            <w:pPr>
              <w:pStyle w:val="ListParagraph"/>
              <w:numPr>
                <w:ilvl w:val="0"/>
                <w:numId w:val="20"/>
              </w:numPr>
              <w:spacing w:after="0"/>
              <w:ind w:left="360"/>
              <w:rPr>
                <w:rFonts w:ascii="Calibri" w:eastAsia="Calibri" w:hAnsi="Calibri" w:cs="Calibri"/>
                <w:lang w:val="en-GB"/>
              </w:rPr>
            </w:pPr>
            <w:r w:rsidRPr="7449792B">
              <w:rPr>
                <w:rFonts w:ascii="Calibri" w:eastAsia="Calibri" w:hAnsi="Calibri" w:cs="Calibri"/>
                <w:lang w:val="en-GB"/>
              </w:rPr>
              <w:t xml:space="preserve">Adjustable Power Factor: -/+ </w:t>
            </w:r>
            <w:r w:rsidR="25E2B814" w:rsidRPr="7449792B">
              <w:rPr>
                <w:rFonts w:ascii="Calibri" w:eastAsia="Calibri" w:hAnsi="Calibri" w:cs="Calibri"/>
                <w:lang w:val="en-GB"/>
              </w:rPr>
              <w:t>1</w:t>
            </w:r>
          </w:p>
          <w:p w14:paraId="1FFF1ACF" w14:textId="428CF66F" w:rsidR="7449792B" w:rsidRDefault="27A75DCE" w:rsidP="005A3F21">
            <w:pPr>
              <w:pStyle w:val="ListParagraph"/>
              <w:numPr>
                <w:ilvl w:val="0"/>
                <w:numId w:val="20"/>
              </w:numPr>
              <w:spacing w:after="0"/>
              <w:ind w:left="360"/>
              <w:rPr>
                <w:rFonts w:ascii="Calibri" w:eastAsia="Calibri" w:hAnsi="Calibri" w:cs="Calibri"/>
                <w:lang w:val="en-GB"/>
              </w:rPr>
            </w:pPr>
            <w:r w:rsidRPr="5949ABDC">
              <w:rPr>
                <w:rFonts w:ascii="Calibri" w:eastAsia="Calibri" w:hAnsi="Calibri" w:cs="Calibri"/>
                <w:lang w:val="en-GB"/>
              </w:rPr>
              <w:t xml:space="preserve">Total harmonic distortion ≤ </w:t>
            </w:r>
            <w:r w:rsidR="0AB2F340" w:rsidRPr="5949ABDC">
              <w:rPr>
                <w:rFonts w:ascii="Calibri" w:eastAsia="Calibri" w:hAnsi="Calibri" w:cs="Calibri"/>
                <w:lang w:val="en-GB"/>
              </w:rPr>
              <w:t>3</w:t>
            </w:r>
            <w:r w:rsidRPr="5949ABDC">
              <w:rPr>
                <w:rFonts w:ascii="Calibri" w:eastAsia="Calibri" w:hAnsi="Calibri" w:cs="Calibri"/>
                <w:lang w:val="en-GB"/>
              </w:rPr>
              <w:t xml:space="preserve">% or </w:t>
            </w:r>
            <w:r w:rsidR="7CD07702" w:rsidRPr="5949ABDC">
              <w:rPr>
                <w:rFonts w:ascii="Calibri" w:eastAsia="Calibri" w:hAnsi="Calibri" w:cs="Calibri"/>
                <w:lang w:val="en-GB"/>
              </w:rPr>
              <w:t>according to</w:t>
            </w:r>
            <w:r w:rsidRPr="5949ABDC">
              <w:rPr>
                <w:rFonts w:ascii="Calibri" w:eastAsia="Calibri" w:hAnsi="Calibri" w:cs="Calibri"/>
                <w:lang w:val="en-GB"/>
              </w:rPr>
              <w:t xml:space="preserve"> application normative and grid code requirements whichever is more </w:t>
            </w:r>
            <w:r w:rsidR="4160CEC3" w:rsidRPr="5949ABDC">
              <w:rPr>
                <w:rFonts w:ascii="Calibri" w:eastAsia="Calibri" w:hAnsi="Calibri" w:cs="Calibri"/>
                <w:lang w:val="en-GB"/>
              </w:rPr>
              <w:t>restrictive.</w:t>
            </w:r>
          </w:p>
          <w:p w14:paraId="50E1F84C" w14:textId="084F78A2" w:rsidR="7449792B" w:rsidRDefault="7449792B" w:rsidP="005A3F21">
            <w:pPr>
              <w:pStyle w:val="ListParagraph"/>
              <w:numPr>
                <w:ilvl w:val="0"/>
                <w:numId w:val="20"/>
              </w:numPr>
              <w:spacing w:after="0"/>
              <w:ind w:left="360"/>
              <w:rPr>
                <w:rFonts w:ascii="Calibri" w:eastAsia="Calibri" w:hAnsi="Calibri" w:cs="Calibri"/>
                <w:lang w:val="en-GB"/>
              </w:rPr>
            </w:pPr>
            <w:r w:rsidRPr="7449792B">
              <w:rPr>
                <w:rFonts w:ascii="Calibri" w:eastAsia="Calibri" w:hAnsi="Calibri" w:cs="Calibri"/>
                <w:lang w:val="en-GB"/>
              </w:rPr>
              <w:t>European efficiency &gt; 98.5%.</w:t>
            </w:r>
          </w:p>
          <w:p w14:paraId="236AA936" w14:textId="20E04251" w:rsidR="7449792B" w:rsidRDefault="7449792B" w:rsidP="005A3F21">
            <w:pPr>
              <w:pStyle w:val="ListParagraph"/>
              <w:numPr>
                <w:ilvl w:val="0"/>
                <w:numId w:val="20"/>
              </w:numPr>
              <w:spacing w:after="0"/>
              <w:ind w:left="360"/>
              <w:rPr>
                <w:rFonts w:ascii="Calibri" w:eastAsia="Calibri" w:hAnsi="Calibri" w:cs="Calibri"/>
                <w:lang w:val="en-GB"/>
              </w:rPr>
            </w:pPr>
            <w:r w:rsidRPr="7449792B">
              <w:rPr>
                <w:rFonts w:ascii="Calibri" w:eastAsia="Calibri" w:hAnsi="Calibri" w:cs="Calibri"/>
                <w:lang w:val="en-GB"/>
              </w:rPr>
              <w:t>Receives commands from PPC and SCADA for power control and reactive power compensation.</w:t>
            </w:r>
          </w:p>
          <w:p w14:paraId="797DAB09" w14:textId="68F188F9" w:rsidR="7449792B" w:rsidRDefault="7449792B" w:rsidP="005A3F21">
            <w:pPr>
              <w:pStyle w:val="ListParagraph"/>
              <w:numPr>
                <w:ilvl w:val="0"/>
                <w:numId w:val="20"/>
              </w:numPr>
              <w:spacing w:after="0"/>
              <w:ind w:left="360"/>
              <w:rPr>
                <w:rFonts w:ascii="Calibri" w:eastAsia="Calibri" w:hAnsi="Calibri" w:cs="Calibri"/>
                <w:lang w:val="en-GB"/>
              </w:rPr>
            </w:pPr>
            <w:r w:rsidRPr="7449792B">
              <w:rPr>
                <w:rFonts w:ascii="Calibri" w:eastAsia="Calibri" w:hAnsi="Calibri" w:cs="Calibri"/>
                <w:lang w:val="en-GB"/>
              </w:rPr>
              <w:t>Separation of output and input power circuits.</w:t>
            </w:r>
          </w:p>
          <w:p w14:paraId="4D428F33" w14:textId="3E3D09E7" w:rsidR="7449792B" w:rsidRDefault="7449792B" w:rsidP="005A3F21">
            <w:pPr>
              <w:pStyle w:val="ListParagraph"/>
              <w:numPr>
                <w:ilvl w:val="0"/>
                <w:numId w:val="20"/>
              </w:numPr>
              <w:spacing w:after="0"/>
              <w:ind w:left="360"/>
              <w:rPr>
                <w:rFonts w:ascii="Calibri" w:eastAsia="Calibri" w:hAnsi="Calibri" w:cs="Calibri"/>
                <w:lang w:val="en-GB"/>
              </w:rPr>
            </w:pPr>
            <w:r w:rsidRPr="7449792B">
              <w:rPr>
                <w:rFonts w:ascii="Calibri" w:eastAsia="Calibri" w:hAnsi="Calibri" w:cs="Calibri"/>
                <w:lang w:val="en-GB"/>
              </w:rPr>
              <w:t>Fully automatic operation, suitable for grid-tied applications.</w:t>
            </w:r>
          </w:p>
          <w:p w14:paraId="649B5C29" w14:textId="64CCEA29" w:rsidR="7449792B" w:rsidRDefault="7449792B" w:rsidP="005A3F21">
            <w:pPr>
              <w:pStyle w:val="ListParagraph"/>
              <w:numPr>
                <w:ilvl w:val="0"/>
                <w:numId w:val="20"/>
              </w:numPr>
              <w:spacing w:after="0"/>
              <w:ind w:left="360"/>
              <w:rPr>
                <w:rFonts w:ascii="Calibri" w:eastAsia="Calibri" w:hAnsi="Calibri" w:cs="Calibri"/>
                <w:lang w:val="en-GB"/>
              </w:rPr>
            </w:pPr>
            <w:r w:rsidRPr="7449792B">
              <w:rPr>
                <w:rFonts w:ascii="Calibri" w:eastAsia="Calibri" w:hAnsi="Calibri" w:cs="Calibri"/>
                <w:lang w:val="en-GB"/>
              </w:rPr>
              <w:t>Operates at grid frequencies of 50Hz</w:t>
            </w:r>
          </w:p>
        </w:tc>
      </w:tr>
      <w:tr w:rsidR="7449792B" w14:paraId="602283D1" w14:textId="77777777" w:rsidTr="5949ABDC">
        <w:trPr>
          <w:trHeight w:val="300"/>
        </w:trPr>
        <w:tc>
          <w:tcPr>
            <w:tcW w:w="2214"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5199D1A4" w14:textId="0FCFC9EB" w:rsidR="7449792B" w:rsidRDefault="7449792B" w:rsidP="00D96061">
            <w:pPr>
              <w:spacing w:line="257" w:lineRule="auto"/>
              <w:rPr>
                <w:rFonts w:ascii="Calibri" w:eastAsia="Calibri" w:hAnsi="Calibri" w:cs="Calibri"/>
                <w:lang w:val="en-GB"/>
              </w:rPr>
            </w:pPr>
            <w:r w:rsidRPr="7449792B">
              <w:rPr>
                <w:rFonts w:ascii="Calibri" w:eastAsia="Calibri" w:hAnsi="Calibri" w:cs="Calibri"/>
                <w:lang w:val="en-GB"/>
              </w:rPr>
              <w:t>Environmental requirements</w:t>
            </w:r>
          </w:p>
        </w:tc>
        <w:tc>
          <w:tcPr>
            <w:tcW w:w="7118" w:type="dxa"/>
            <w:tcBorders>
              <w:top w:val="single" w:sz="8" w:space="0" w:color="auto"/>
              <w:left w:val="single" w:sz="8" w:space="0" w:color="auto"/>
              <w:bottom w:val="single" w:sz="8" w:space="0" w:color="auto"/>
              <w:right w:val="single" w:sz="8" w:space="0" w:color="auto"/>
            </w:tcBorders>
            <w:tcMar>
              <w:left w:w="108" w:type="dxa"/>
              <w:right w:w="108" w:type="dxa"/>
            </w:tcMar>
          </w:tcPr>
          <w:p w14:paraId="5EB946A1" w14:textId="2CFC68A9" w:rsidR="7449792B" w:rsidRDefault="7449792B" w:rsidP="005A3F21">
            <w:pPr>
              <w:pStyle w:val="ListParagraph"/>
              <w:numPr>
                <w:ilvl w:val="0"/>
                <w:numId w:val="19"/>
              </w:numPr>
              <w:spacing w:after="0"/>
              <w:ind w:left="360"/>
              <w:rPr>
                <w:rFonts w:ascii="Calibri" w:eastAsia="Calibri" w:hAnsi="Calibri" w:cs="Calibri"/>
                <w:lang w:val="en-GB"/>
              </w:rPr>
            </w:pPr>
            <w:r w:rsidRPr="7449792B">
              <w:rPr>
                <w:rFonts w:ascii="Calibri" w:eastAsia="Calibri" w:hAnsi="Calibri" w:cs="Calibri"/>
                <w:lang w:val="en-GB"/>
              </w:rPr>
              <w:t>Protection grade of IP 65 or better.</w:t>
            </w:r>
          </w:p>
          <w:p w14:paraId="3B42CE83" w14:textId="63328CB0" w:rsidR="7449792B" w:rsidRDefault="7449792B" w:rsidP="005A3F21">
            <w:pPr>
              <w:pStyle w:val="ListParagraph"/>
              <w:numPr>
                <w:ilvl w:val="0"/>
                <w:numId w:val="19"/>
              </w:numPr>
              <w:spacing w:after="0"/>
              <w:ind w:left="360"/>
              <w:rPr>
                <w:rFonts w:ascii="Calibri" w:eastAsia="Calibri" w:hAnsi="Calibri" w:cs="Calibri"/>
                <w:lang w:val="en-GB"/>
              </w:rPr>
            </w:pPr>
            <w:r w:rsidRPr="7449792B">
              <w:rPr>
                <w:rFonts w:ascii="Calibri" w:eastAsia="Calibri" w:hAnsi="Calibri" w:cs="Calibri"/>
                <w:lang w:val="en-GB"/>
              </w:rPr>
              <w:t>Excellent resistance to corrosion and chemical substances</w:t>
            </w:r>
          </w:p>
          <w:p w14:paraId="71C9664F" w14:textId="0FD79189" w:rsidR="7449792B" w:rsidRDefault="7449792B" w:rsidP="005A3F21">
            <w:pPr>
              <w:pStyle w:val="ListParagraph"/>
              <w:numPr>
                <w:ilvl w:val="0"/>
                <w:numId w:val="19"/>
              </w:numPr>
              <w:spacing w:after="0"/>
              <w:ind w:left="360"/>
              <w:rPr>
                <w:rFonts w:ascii="Calibri" w:eastAsia="Calibri" w:hAnsi="Calibri" w:cs="Calibri"/>
                <w:lang w:val="en-GB"/>
              </w:rPr>
            </w:pPr>
            <w:r w:rsidRPr="7449792B">
              <w:rPr>
                <w:rFonts w:ascii="Calibri" w:eastAsia="Calibri" w:hAnsi="Calibri" w:cs="Calibri"/>
                <w:lang w:val="en-GB"/>
              </w:rPr>
              <w:t>High resistance to weather conditions (-20ºC to +50ºC)</w:t>
            </w:r>
          </w:p>
          <w:p w14:paraId="2731F0C1" w14:textId="5D20DB23" w:rsidR="7449792B" w:rsidRDefault="7449792B" w:rsidP="005A3F21">
            <w:pPr>
              <w:pStyle w:val="ListParagraph"/>
              <w:numPr>
                <w:ilvl w:val="0"/>
                <w:numId w:val="19"/>
              </w:numPr>
              <w:spacing w:after="0" w:line="257" w:lineRule="auto"/>
              <w:ind w:left="360"/>
              <w:jc w:val="both"/>
              <w:rPr>
                <w:rFonts w:ascii="Calibri" w:eastAsia="Calibri" w:hAnsi="Calibri" w:cs="Calibri"/>
                <w:lang w:val="en-GB"/>
              </w:rPr>
            </w:pPr>
            <w:r w:rsidRPr="7449792B">
              <w:rPr>
                <w:rFonts w:ascii="Calibri" w:eastAsia="Calibri" w:hAnsi="Calibri" w:cs="Calibri"/>
                <w:lang w:val="en-GB"/>
              </w:rPr>
              <w:t>High impact resistance</w:t>
            </w:r>
          </w:p>
          <w:p w14:paraId="1C4FB15E" w14:textId="3AD3D3FA" w:rsidR="7449792B" w:rsidRDefault="7449792B" w:rsidP="005A3F21">
            <w:pPr>
              <w:pStyle w:val="ListParagraph"/>
              <w:numPr>
                <w:ilvl w:val="0"/>
                <w:numId w:val="19"/>
              </w:numPr>
              <w:spacing w:after="0" w:line="257" w:lineRule="auto"/>
              <w:ind w:left="360"/>
              <w:jc w:val="both"/>
              <w:rPr>
                <w:rFonts w:ascii="Calibri" w:eastAsia="Calibri" w:hAnsi="Calibri" w:cs="Calibri"/>
                <w:lang w:val="en-GB"/>
              </w:rPr>
            </w:pPr>
            <w:r w:rsidRPr="7449792B">
              <w:rPr>
                <w:rFonts w:ascii="Calibri" w:eastAsia="Calibri" w:hAnsi="Calibri" w:cs="Calibri"/>
                <w:lang w:val="en-GB"/>
              </w:rPr>
              <w:t>Designed to operate at project specific climate conditions</w:t>
            </w:r>
          </w:p>
          <w:p w14:paraId="54AAAEE9" w14:textId="443E8BB5" w:rsidR="7449792B" w:rsidRDefault="7449792B" w:rsidP="005A3F21">
            <w:pPr>
              <w:pStyle w:val="ListParagraph"/>
              <w:numPr>
                <w:ilvl w:val="0"/>
                <w:numId w:val="19"/>
              </w:numPr>
              <w:spacing w:after="0" w:line="360" w:lineRule="auto"/>
              <w:ind w:left="360"/>
              <w:jc w:val="both"/>
              <w:rPr>
                <w:rFonts w:ascii="Calibri" w:eastAsia="Calibri" w:hAnsi="Calibri" w:cs="Calibri"/>
              </w:rPr>
            </w:pPr>
            <w:r w:rsidRPr="7449792B">
              <w:rPr>
                <w:rFonts w:ascii="Calibri" w:eastAsia="Calibri" w:hAnsi="Calibri" w:cs="Calibri"/>
              </w:rPr>
              <w:t xml:space="preserve">For coastal installations, the </w:t>
            </w:r>
            <w:r w:rsidR="6182743A" w:rsidRPr="7449792B">
              <w:rPr>
                <w:rFonts w:ascii="Calibri" w:eastAsia="Calibri" w:hAnsi="Calibri" w:cs="Calibri"/>
              </w:rPr>
              <w:t>converter</w:t>
            </w:r>
            <w:r w:rsidRPr="7449792B">
              <w:rPr>
                <w:rFonts w:ascii="Calibri" w:eastAsia="Calibri" w:hAnsi="Calibri" w:cs="Calibri"/>
              </w:rPr>
              <w:t xml:space="preserve"> cabinet must have a C5-M grade according to ISO 12944 or equivalent classification for corrosion protection.</w:t>
            </w:r>
          </w:p>
          <w:p w14:paraId="2A9492DF" w14:textId="6483B3DF" w:rsidR="7449792B" w:rsidRDefault="7449792B" w:rsidP="005A3F21">
            <w:pPr>
              <w:pStyle w:val="ListParagraph"/>
              <w:numPr>
                <w:ilvl w:val="0"/>
                <w:numId w:val="19"/>
              </w:numPr>
              <w:spacing w:after="0" w:line="257" w:lineRule="auto"/>
              <w:ind w:left="360"/>
              <w:jc w:val="both"/>
              <w:rPr>
                <w:rFonts w:ascii="Calibri" w:eastAsia="Calibri" w:hAnsi="Calibri" w:cs="Calibri"/>
              </w:rPr>
            </w:pPr>
            <w:r w:rsidRPr="7449792B">
              <w:rPr>
                <w:rFonts w:ascii="Calibri" w:eastAsia="Calibri" w:hAnsi="Calibri" w:cs="Calibri"/>
              </w:rPr>
              <w:t xml:space="preserve">For extremely dusty/desert applications, the </w:t>
            </w:r>
            <w:r w:rsidR="3A2BC4A3" w:rsidRPr="7449792B">
              <w:rPr>
                <w:rFonts w:ascii="Calibri" w:eastAsia="Calibri" w:hAnsi="Calibri" w:cs="Calibri"/>
              </w:rPr>
              <w:t xml:space="preserve">converter </w:t>
            </w:r>
            <w:r w:rsidRPr="7449792B">
              <w:rPr>
                <w:rFonts w:ascii="Calibri" w:eastAsia="Calibri" w:hAnsi="Calibri" w:cs="Calibri"/>
              </w:rPr>
              <w:t>enclosure must meet application requirements, including IEC 60068-2-68 certification</w:t>
            </w:r>
          </w:p>
        </w:tc>
      </w:tr>
      <w:tr w:rsidR="7449792B" w14:paraId="54A8C0CB" w14:textId="77777777" w:rsidTr="5949ABDC">
        <w:trPr>
          <w:trHeight w:val="300"/>
        </w:trPr>
        <w:tc>
          <w:tcPr>
            <w:tcW w:w="2214"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1FD072C9" w14:textId="6469FBA4" w:rsidR="7449792B" w:rsidRDefault="7449792B" w:rsidP="00D96061">
            <w:pPr>
              <w:spacing w:line="257" w:lineRule="auto"/>
              <w:rPr>
                <w:rFonts w:ascii="Calibri" w:eastAsia="Calibri" w:hAnsi="Calibri" w:cs="Calibri"/>
                <w:lang w:val="en-GB"/>
              </w:rPr>
            </w:pPr>
            <w:r w:rsidRPr="7449792B">
              <w:rPr>
                <w:rFonts w:ascii="Calibri" w:eastAsia="Calibri" w:hAnsi="Calibri" w:cs="Calibri"/>
                <w:lang w:val="en-GB"/>
              </w:rPr>
              <w:t xml:space="preserve">Temperature behaviour &amp; design </w:t>
            </w:r>
          </w:p>
        </w:tc>
        <w:tc>
          <w:tcPr>
            <w:tcW w:w="7118" w:type="dxa"/>
            <w:tcBorders>
              <w:top w:val="single" w:sz="8" w:space="0" w:color="auto"/>
              <w:left w:val="single" w:sz="8" w:space="0" w:color="auto"/>
              <w:bottom w:val="single" w:sz="8" w:space="0" w:color="auto"/>
              <w:right w:val="single" w:sz="8" w:space="0" w:color="auto"/>
            </w:tcBorders>
            <w:tcMar>
              <w:left w:w="108" w:type="dxa"/>
              <w:right w:w="108" w:type="dxa"/>
            </w:tcMar>
          </w:tcPr>
          <w:p w14:paraId="0C9393A2" w14:textId="5EDE258F" w:rsidR="7449792B" w:rsidRDefault="7449792B" w:rsidP="005A3F21">
            <w:pPr>
              <w:pStyle w:val="ListParagraph"/>
              <w:numPr>
                <w:ilvl w:val="0"/>
                <w:numId w:val="19"/>
              </w:numPr>
              <w:spacing w:after="0"/>
              <w:ind w:left="360"/>
              <w:rPr>
                <w:rFonts w:ascii="Calibri" w:eastAsia="Calibri" w:hAnsi="Calibri" w:cs="Calibri"/>
                <w:lang w:val="en-GB"/>
              </w:rPr>
            </w:pPr>
            <w:r w:rsidRPr="7449792B">
              <w:rPr>
                <w:rFonts w:ascii="Calibri" w:eastAsia="Calibri" w:hAnsi="Calibri" w:cs="Calibri"/>
                <w:lang w:val="en-GB"/>
              </w:rPr>
              <w:t>No derating up to 3</w:t>
            </w:r>
            <w:r w:rsidR="2832EA5B" w:rsidRPr="7449792B">
              <w:rPr>
                <w:rFonts w:ascii="Calibri" w:eastAsia="Calibri" w:hAnsi="Calibri" w:cs="Calibri"/>
                <w:lang w:val="en-GB"/>
              </w:rPr>
              <w:t>0</w:t>
            </w:r>
            <w:r w:rsidRPr="7449792B">
              <w:rPr>
                <w:rFonts w:ascii="Calibri" w:eastAsia="Calibri" w:hAnsi="Calibri" w:cs="Calibri"/>
                <w:lang w:val="en-GB"/>
              </w:rPr>
              <w:t>ºC ambient temperature</w:t>
            </w:r>
          </w:p>
        </w:tc>
      </w:tr>
      <w:tr w:rsidR="7449792B" w14:paraId="1363CF06" w14:textId="77777777" w:rsidTr="5949ABDC">
        <w:trPr>
          <w:trHeight w:val="300"/>
        </w:trPr>
        <w:tc>
          <w:tcPr>
            <w:tcW w:w="2214"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498F8223" w14:textId="6B9C9F61" w:rsidR="7449792B" w:rsidRDefault="7449792B" w:rsidP="00D96061">
            <w:pPr>
              <w:spacing w:line="257" w:lineRule="auto"/>
              <w:rPr>
                <w:rFonts w:ascii="Calibri" w:eastAsia="Calibri" w:hAnsi="Calibri" w:cs="Calibri"/>
                <w:lang w:val="en-GB"/>
              </w:rPr>
            </w:pPr>
            <w:r w:rsidRPr="7449792B">
              <w:rPr>
                <w:rFonts w:ascii="Calibri" w:eastAsia="Calibri" w:hAnsi="Calibri" w:cs="Calibri"/>
                <w:lang w:val="en-GB"/>
              </w:rPr>
              <w:t>Automatic operation</w:t>
            </w:r>
          </w:p>
        </w:tc>
        <w:tc>
          <w:tcPr>
            <w:tcW w:w="7118" w:type="dxa"/>
            <w:tcBorders>
              <w:top w:val="single" w:sz="8" w:space="0" w:color="auto"/>
              <w:left w:val="single" w:sz="8" w:space="0" w:color="auto"/>
              <w:bottom w:val="single" w:sz="8" w:space="0" w:color="auto"/>
              <w:right w:val="single" w:sz="8" w:space="0" w:color="auto"/>
            </w:tcBorders>
            <w:tcMar>
              <w:left w:w="108" w:type="dxa"/>
              <w:right w:w="108" w:type="dxa"/>
            </w:tcMar>
          </w:tcPr>
          <w:p w14:paraId="717AEF45" w14:textId="40A390FE" w:rsidR="7449792B" w:rsidRDefault="7449792B" w:rsidP="005A3F21">
            <w:pPr>
              <w:pStyle w:val="ListParagraph"/>
              <w:numPr>
                <w:ilvl w:val="0"/>
                <w:numId w:val="19"/>
              </w:numPr>
              <w:spacing w:after="0"/>
              <w:ind w:left="360"/>
              <w:rPr>
                <w:rFonts w:ascii="Calibri" w:eastAsia="Calibri" w:hAnsi="Calibri" w:cs="Calibri"/>
                <w:lang w:val="en-GB"/>
              </w:rPr>
            </w:pPr>
            <w:r w:rsidRPr="7449792B">
              <w:rPr>
                <w:rFonts w:ascii="Calibri" w:eastAsia="Calibri" w:hAnsi="Calibri" w:cs="Calibri"/>
                <w:lang w:val="en-GB"/>
              </w:rPr>
              <w:t xml:space="preserve">Automatic Reconnection: Once the conditions causing the interruption of grid injection cease, the </w:t>
            </w:r>
            <w:r w:rsidR="7DD1B6A2" w:rsidRPr="7449792B">
              <w:rPr>
                <w:rFonts w:ascii="Calibri" w:eastAsia="Calibri" w:hAnsi="Calibri" w:cs="Calibri"/>
                <w:lang w:val="en-GB"/>
              </w:rPr>
              <w:t>converter</w:t>
            </w:r>
            <w:r w:rsidRPr="7449792B">
              <w:rPr>
                <w:rFonts w:ascii="Calibri" w:eastAsia="Calibri" w:hAnsi="Calibri" w:cs="Calibri"/>
                <w:lang w:val="en-GB"/>
              </w:rPr>
              <w:t xml:space="preserve"> must reconnect automatically.</w:t>
            </w:r>
          </w:p>
          <w:p w14:paraId="6C6C9E1B" w14:textId="3EAC847D" w:rsidR="7449792B" w:rsidRDefault="7449792B" w:rsidP="005A3F21">
            <w:pPr>
              <w:pStyle w:val="ListParagraph"/>
              <w:numPr>
                <w:ilvl w:val="0"/>
                <w:numId w:val="19"/>
              </w:numPr>
              <w:spacing w:after="0"/>
              <w:ind w:left="360"/>
              <w:rPr>
                <w:rFonts w:ascii="Calibri" w:eastAsia="Calibri" w:hAnsi="Calibri" w:cs="Calibri"/>
                <w:lang w:val="en-GB"/>
              </w:rPr>
            </w:pPr>
            <w:r w:rsidRPr="7449792B">
              <w:rPr>
                <w:rFonts w:ascii="Calibri" w:eastAsia="Calibri" w:hAnsi="Calibri" w:cs="Calibri"/>
                <w:lang w:val="en-GB"/>
              </w:rPr>
              <w:t xml:space="preserve">Automatic Restart Post-Fault Clearance: If a fault is cleared, the </w:t>
            </w:r>
            <w:r w:rsidR="5C54C0E4" w:rsidRPr="7449792B">
              <w:rPr>
                <w:rFonts w:ascii="Calibri" w:eastAsia="Calibri" w:hAnsi="Calibri" w:cs="Calibri"/>
                <w:lang w:val="en-GB"/>
              </w:rPr>
              <w:t>converter</w:t>
            </w:r>
            <w:r w:rsidRPr="7449792B">
              <w:rPr>
                <w:rFonts w:ascii="Calibri" w:eastAsia="Calibri" w:hAnsi="Calibri" w:cs="Calibri"/>
                <w:lang w:val="en-GB"/>
              </w:rPr>
              <w:t xml:space="preserve"> must restart automatically.</w:t>
            </w:r>
          </w:p>
        </w:tc>
      </w:tr>
      <w:tr w:rsidR="7449792B" w14:paraId="2B62018F" w14:textId="77777777" w:rsidTr="5949ABDC">
        <w:trPr>
          <w:trHeight w:val="300"/>
        </w:trPr>
        <w:tc>
          <w:tcPr>
            <w:tcW w:w="2214"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64AA794D" w14:textId="65377B17" w:rsidR="7449792B" w:rsidRDefault="7449792B" w:rsidP="00D96061">
            <w:pPr>
              <w:spacing w:line="257" w:lineRule="auto"/>
              <w:rPr>
                <w:rFonts w:ascii="Calibri" w:eastAsia="Calibri" w:hAnsi="Calibri" w:cs="Calibri"/>
                <w:lang w:val="en-GB"/>
              </w:rPr>
            </w:pPr>
            <w:r w:rsidRPr="7449792B">
              <w:rPr>
                <w:rFonts w:ascii="Calibri" w:eastAsia="Calibri" w:hAnsi="Calibri" w:cs="Calibri"/>
                <w:lang w:val="en-GB"/>
              </w:rPr>
              <w:t xml:space="preserve">Protections </w:t>
            </w:r>
          </w:p>
        </w:tc>
        <w:tc>
          <w:tcPr>
            <w:tcW w:w="7118" w:type="dxa"/>
            <w:tcBorders>
              <w:top w:val="single" w:sz="8" w:space="0" w:color="auto"/>
              <w:left w:val="single" w:sz="8" w:space="0" w:color="auto"/>
              <w:bottom w:val="single" w:sz="8" w:space="0" w:color="auto"/>
              <w:right w:val="single" w:sz="8" w:space="0" w:color="auto"/>
            </w:tcBorders>
            <w:tcMar>
              <w:left w:w="108" w:type="dxa"/>
              <w:right w:w="108" w:type="dxa"/>
            </w:tcMar>
          </w:tcPr>
          <w:p w14:paraId="06EE999E" w14:textId="463764ED" w:rsidR="7449792B" w:rsidRDefault="7449792B" w:rsidP="005A3F21">
            <w:pPr>
              <w:pStyle w:val="ListParagraph"/>
              <w:numPr>
                <w:ilvl w:val="0"/>
                <w:numId w:val="19"/>
              </w:numPr>
              <w:spacing w:after="0"/>
              <w:ind w:left="360"/>
              <w:rPr>
                <w:rFonts w:ascii="Calibri" w:eastAsia="Calibri" w:hAnsi="Calibri" w:cs="Calibri"/>
                <w:lang w:val="en-GB"/>
              </w:rPr>
            </w:pPr>
            <w:r w:rsidRPr="7449792B">
              <w:rPr>
                <w:rFonts w:ascii="Calibri" w:eastAsia="Calibri" w:hAnsi="Calibri" w:cs="Calibri"/>
                <w:lang w:val="en-GB"/>
              </w:rPr>
              <w:t xml:space="preserve">On DC side: reverse polarization </w:t>
            </w:r>
          </w:p>
          <w:p w14:paraId="6AAE4559" w14:textId="47A070E2" w:rsidR="7449792B" w:rsidRDefault="7449792B" w:rsidP="005A3F21">
            <w:pPr>
              <w:pStyle w:val="ListParagraph"/>
              <w:numPr>
                <w:ilvl w:val="0"/>
                <w:numId w:val="19"/>
              </w:numPr>
              <w:spacing w:after="0"/>
              <w:ind w:left="360"/>
              <w:rPr>
                <w:rFonts w:ascii="Calibri" w:eastAsia="Calibri" w:hAnsi="Calibri" w:cs="Calibri"/>
                <w:lang w:val="en-GB"/>
              </w:rPr>
            </w:pPr>
            <w:r w:rsidRPr="7449792B">
              <w:rPr>
                <w:rFonts w:ascii="Calibri" w:eastAsia="Calibri" w:hAnsi="Calibri" w:cs="Calibri"/>
                <w:lang w:val="en-GB"/>
              </w:rPr>
              <w:t xml:space="preserve">On DC side: type II </w:t>
            </w:r>
            <w:proofErr w:type="gramStart"/>
            <w:r w:rsidRPr="7449792B">
              <w:rPr>
                <w:rFonts w:ascii="Calibri" w:eastAsia="Calibri" w:hAnsi="Calibri" w:cs="Calibri"/>
                <w:lang w:val="en-GB"/>
              </w:rPr>
              <w:t>SPD;</w:t>
            </w:r>
            <w:proofErr w:type="gramEnd"/>
          </w:p>
          <w:p w14:paraId="75D312D3" w14:textId="1C44D6DD" w:rsidR="7449792B" w:rsidRDefault="7449792B" w:rsidP="005A3F21">
            <w:pPr>
              <w:pStyle w:val="ListParagraph"/>
              <w:numPr>
                <w:ilvl w:val="0"/>
                <w:numId w:val="19"/>
              </w:numPr>
              <w:spacing w:after="0"/>
              <w:ind w:left="360"/>
              <w:rPr>
                <w:rFonts w:ascii="Calibri" w:eastAsia="Calibri" w:hAnsi="Calibri" w:cs="Calibri"/>
                <w:lang w:val="en-GB"/>
              </w:rPr>
            </w:pPr>
            <w:r w:rsidRPr="7449792B">
              <w:rPr>
                <w:rFonts w:ascii="Calibri" w:eastAsia="Calibri" w:hAnsi="Calibri" w:cs="Calibri"/>
                <w:lang w:val="en-GB"/>
              </w:rPr>
              <w:t>On DC side: ground fault protection</w:t>
            </w:r>
          </w:p>
          <w:p w14:paraId="22F48083" w14:textId="674183EA" w:rsidR="7449792B" w:rsidRDefault="7449792B" w:rsidP="005A3F21">
            <w:pPr>
              <w:pStyle w:val="ListParagraph"/>
              <w:numPr>
                <w:ilvl w:val="0"/>
                <w:numId w:val="19"/>
              </w:numPr>
              <w:spacing w:after="0"/>
              <w:ind w:left="360"/>
              <w:rPr>
                <w:rFonts w:ascii="Calibri" w:eastAsia="Calibri" w:hAnsi="Calibri" w:cs="Calibri"/>
                <w:lang w:val="en-GB"/>
              </w:rPr>
            </w:pPr>
            <w:r w:rsidRPr="7449792B">
              <w:rPr>
                <w:rFonts w:ascii="Calibri" w:eastAsia="Calibri" w:hAnsi="Calibri" w:cs="Calibri"/>
                <w:lang w:val="en-GB"/>
              </w:rPr>
              <w:t xml:space="preserve">On AC side: type II </w:t>
            </w:r>
            <w:proofErr w:type="gramStart"/>
            <w:r w:rsidRPr="7449792B">
              <w:rPr>
                <w:rFonts w:ascii="Calibri" w:eastAsia="Calibri" w:hAnsi="Calibri" w:cs="Calibri"/>
                <w:lang w:val="en-GB"/>
              </w:rPr>
              <w:t>SPD;</w:t>
            </w:r>
            <w:proofErr w:type="gramEnd"/>
          </w:p>
          <w:p w14:paraId="2D8CC749" w14:textId="0B2F4705" w:rsidR="7449792B" w:rsidRDefault="7449792B" w:rsidP="005A3F21">
            <w:pPr>
              <w:pStyle w:val="ListParagraph"/>
              <w:numPr>
                <w:ilvl w:val="0"/>
                <w:numId w:val="19"/>
              </w:numPr>
              <w:spacing w:after="0"/>
              <w:ind w:left="360"/>
              <w:rPr>
                <w:rFonts w:ascii="Calibri" w:eastAsia="Calibri" w:hAnsi="Calibri" w:cs="Calibri"/>
                <w:lang w:val="en-GB"/>
              </w:rPr>
            </w:pPr>
            <w:r w:rsidRPr="7449792B">
              <w:rPr>
                <w:rFonts w:ascii="Calibri" w:eastAsia="Calibri" w:hAnsi="Calibri" w:cs="Calibri"/>
                <w:lang w:val="en-GB"/>
              </w:rPr>
              <w:t>Over-temperature: automatic thermal protective control system</w:t>
            </w:r>
          </w:p>
        </w:tc>
      </w:tr>
      <w:tr w:rsidR="7449792B" w14:paraId="507C8F09" w14:textId="77777777" w:rsidTr="5949ABDC">
        <w:trPr>
          <w:trHeight w:val="300"/>
        </w:trPr>
        <w:tc>
          <w:tcPr>
            <w:tcW w:w="2214"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5573A8C0" w14:textId="0C692FC3" w:rsidR="7449792B" w:rsidRDefault="7449792B" w:rsidP="00D96061">
            <w:pPr>
              <w:spacing w:line="257" w:lineRule="auto"/>
              <w:rPr>
                <w:rFonts w:ascii="Calibri" w:eastAsia="Calibri" w:hAnsi="Calibri" w:cs="Calibri"/>
                <w:lang w:val="en-GB"/>
              </w:rPr>
            </w:pPr>
            <w:r w:rsidRPr="7449792B">
              <w:rPr>
                <w:rFonts w:ascii="Calibri" w:eastAsia="Calibri" w:hAnsi="Calibri" w:cs="Calibri"/>
                <w:lang w:val="en-GB"/>
              </w:rPr>
              <w:lastRenderedPageBreak/>
              <w:t>Communication</w:t>
            </w:r>
          </w:p>
        </w:tc>
        <w:tc>
          <w:tcPr>
            <w:tcW w:w="7118" w:type="dxa"/>
            <w:tcBorders>
              <w:top w:val="single" w:sz="8" w:space="0" w:color="auto"/>
              <w:left w:val="single" w:sz="8" w:space="0" w:color="auto"/>
              <w:bottom w:val="single" w:sz="8" w:space="0" w:color="auto"/>
              <w:right w:val="single" w:sz="8" w:space="0" w:color="auto"/>
            </w:tcBorders>
            <w:tcMar>
              <w:left w:w="108" w:type="dxa"/>
              <w:right w:w="108" w:type="dxa"/>
            </w:tcMar>
          </w:tcPr>
          <w:p w14:paraId="4B3C6CD9" w14:textId="64081CD8" w:rsidR="7449792B" w:rsidRDefault="7449792B" w:rsidP="005A3F21">
            <w:pPr>
              <w:pStyle w:val="ListParagraph"/>
              <w:numPr>
                <w:ilvl w:val="0"/>
                <w:numId w:val="19"/>
              </w:numPr>
              <w:spacing w:after="0"/>
              <w:ind w:left="360"/>
              <w:rPr>
                <w:rFonts w:ascii="Calibri" w:eastAsia="Calibri" w:hAnsi="Calibri" w:cs="Calibri"/>
                <w:lang w:val="en-GB"/>
              </w:rPr>
            </w:pPr>
            <w:r w:rsidRPr="7449792B">
              <w:rPr>
                <w:rFonts w:ascii="Calibri" w:eastAsia="Calibri" w:hAnsi="Calibri" w:cs="Calibri"/>
                <w:lang w:val="en-GB"/>
              </w:rPr>
              <w:t xml:space="preserve">HMI interface on the </w:t>
            </w:r>
            <w:r w:rsidR="282862D4" w:rsidRPr="7449792B">
              <w:rPr>
                <w:rFonts w:ascii="Calibri" w:eastAsia="Calibri" w:hAnsi="Calibri" w:cs="Calibri"/>
                <w:lang w:val="en-GB"/>
              </w:rPr>
              <w:t>converter</w:t>
            </w:r>
            <w:r w:rsidRPr="7449792B">
              <w:rPr>
                <w:rFonts w:ascii="Calibri" w:eastAsia="Calibri" w:hAnsi="Calibri" w:cs="Calibri"/>
                <w:lang w:val="en-GB"/>
              </w:rPr>
              <w:t xml:space="preserve"> or accessible by </w:t>
            </w:r>
            <w:proofErr w:type="gramStart"/>
            <w:r w:rsidRPr="7449792B">
              <w:rPr>
                <w:rFonts w:ascii="Calibri" w:eastAsia="Calibri" w:hAnsi="Calibri" w:cs="Calibri"/>
                <w:lang w:val="en-GB"/>
              </w:rPr>
              <w:t>APP;</w:t>
            </w:r>
            <w:proofErr w:type="gramEnd"/>
            <w:r w:rsidRPr="7449792B">
              <w:rPr>
                <w:rFonts w:ascii="Calibri" w:eastAsia="Calibri" w:hAnsi="Calibri" w:cs="Calibri"/>
                <w:lang w:val="en-GB"/>
              </w:rPr>
              <w:t xml:space="preserve"> </w:t>
            </w:r>
          </w:p>
          <w:p w14:paraId="77D5EA9C" w14:textId="453B2262" w:rsidR="7449792B" w:rsidRDefault="7449792B" w:rsidP="005A3F21">
            <w:pPr>
              <w:pStyle w:val="ListParagraph"/>
              <w:numPr>
                <w:ilvl w:val="0"/>
                <w:numId w:val="19"/>
              </w:numPr>
              <w:spacing w:after="0"/>
              <w:ind w:left="360"/>
              <w:rPr>
                <w:rFonts w:ascii="Calibri" w:eastAsia="Calibri" w:hAnsi="Calibri" w:cs="Calibri"/>
                <w:lang w:val="en-GB"/>
              </w:rPr>
            </w:pPr>
            <w:r w:rsidRPr="7449792B">
              <w:rPr>
                <w:rFonts w:ascii="Calibri" w:eastAsia="Calibri" w:hAnsi="Calibri" w:cs="Calibri"/>
                <w:lang w:val="en-GB"/>
              </w:rPr>
              <w:t>PLC, Modbus TCP and Ethernet communication;</w:t>
            </w:r>
          </w:p>
        </w:tc>
      </w:tr>
      <w:tr w:rsidR="7449792B" w14:paraId="27BB99B9" w14:textId="77777777" w:rsidTr="5949ABDC">
        <w:trPr>
          <w:trHeight w:val="300"/>
        </w:trPr>
        <w:tc>
          <w:tcPr>
            <w:tcW w:w="2214"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193F96A2" w14:textId="7E081CFC" w:rsidR="7449792B" w:rsidRDefault="7449792B" w:rsidP="00D96061">
            <w:pPr>
              <w:spacing w:line="257" w:lineRule="auto"/>
              <w:rPr>
                <w:rFonts w:ascii="Calibri" w:eastAsia="Calibri" w:hAnsi="Calibri" w:cs="Calibri"/>
                <w:lang w:val="en-GB"/>
              </w:rPr>
            </w:pPr>
            <w:r w:rsidRPr="7449792B">
              <w:rPr>
                <w:rFonts w:ascii="Calibri" w:eastAsia="Calibri" w:hAnsi="Calibri" w:cs="Calibri"/>
                <w:lang w:val="en-GB"/>
              </w:rPr>
              <w:t>Grid code compliance</w:t>
            </w:r>
          </w:p>
        </w:tc>
        <w:tc>
          <w:tcPr>
            <w:tcW w:w="7118" w:type="dxa"/>
            <w:tcBorders>
              <w:top w:val="single" w:sz="8" w:space="0" w:color="auto"/>
              <w:left w:val="single" w:sz="8" w:space="0" w:color="auto"/>
              <w:bottom w:val="single" w:sz="8" w:space="0" w:color="auto"/>
              <w:right w:val="single" w:sz="8" w:space="0" w:color="auto"/>
            </w:tcBorders>
            <w:tcMar>
              <w:left w:w="108" w:type="dxa"/>
              <w:right w:w="108" w:type="dxa"/>
            </w:tcMar>
          </w:tcPr>
          <w:p w14:paraId="413CC7AB" w14:textId="35DBD525" w:rsidR="7449792B" w:rsidRDefault="7449792B" w:rsidP="005A3F21">
            <w:pPr>
              <w:pStyle w:val="ListParagraph"/>
              <w:numPr>
                <w:ilvl w:val="0"/>
                <w:numId w:val="19"/>
              </w:numPr>
              <w:spacing w:after="0"/>
              <w:ind w:left="360"/>
              <w:rPr>
                <w:rFonts w:ascii="Calibri" w:eastAsia="Calibri" w:hAnsi="Calibri" w:cs="Calibri"/>
                <w:lang w:val="en-GB"/>
              </w:rPr>
            </w:pPr>
            <w:r w:rsidRPr="7449792B">
              <w:rPr>
                <w:rFonts w:ascii="Calibri" w:eastAsia="Calibri" w:hAnsi="Calibri" w:cs="Calibri"/>
                <w:lang w:val="en-GB"/>
              </w:rPr>
              <w:t xml:space="preserve">The </w:t>
            </w:r>
            <w:r w:rsidR="21E938FF" w:rsidRPr="7449792B">
              <w:rPr>
                <w:rFonts w:ascii="Calibri" w:eastAsia="Calibri" w:hAnsi="Calibri" w:cs="Calibri"/>
                <w:lang w:val="en-GB"/>
              </w:rPr>
              <w:t xml:space="preserve">converter </w:t>
            </w:r>
            <w:r w:rsidRPr="7449792B">
              <w:rPr>
                <w:rFonts w:ascii="Calibri" w:eastAsia="Calibri" w:hAnsi="Calibri" w:cs="Calibri"/>
                <w:lang w:val="en-GB"/>
              </w:rPr>
              <w:t>must comply with all local grid control requirements, in accordance with the most current grid code</w:t>
            </w:r>
          </w:p>
        </w:tc>
      </w:tr>
      <w:tr w:rsidR="7449792B" w14:paraId="0473B3E8" w14:textId="77777777" w:rsidTr="5949ABDC">
        <w:trPr>
          <w:trHeight w:val="300"/>
        </w:trPr>
        <w:tc>
          <w:tcPr>
            <w:tcW w:w="2214"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3A3BB439" w14:textId="7A5AF4C4" w:rsidR="7449792B" w:rsidRDefault="7449792B" w:rsidP="00D96061">
            <w:pPr>
              <w:spacing w:line="257" w:lineRule="auto"/>
              <w:rPr>
                <w:rFonts w:ascii="Calibri" w:eastAsia="Calibri" w:hAnsi="Calibri" w:cs="Calibri"/>
                <w:lang w:val="en-GB"/>
              </w:rPr>
            </w:pPr>
            <w:r w:rsidRPr="7449792B">
              <w:rPr>
                <w:rFonts w:ascii="Calibri" w:eastAsia="Calibri" w:hAnsi="Calibri" w:cs="Calibri"/>
                <w:lang w:val="en-GB"/>
              </w:rPr>
              <w:t>Safety Requirements</w:t>
            </w:r>
          </w:p>
        </w:tc>
        <w:tc>
          <w:tcPr>
            <w:tcW w:w="7118" w:type="dxa"/>
            <w:tcBorders>
              <w:top w:val="single" w:sz="8" w:space="0" w:color="auto"/>
              <w:left w:val="single" w:sz="8" w:space="0" w:color="auto"/>
              <w:bottom w:val="single" w:sz="8" w:space="0" w:color="auto"/>
              <w:right w:val="single" w:sz="8" w:space="0" w:color="auto"/>
            </w:tcBorders>
            <w:tcMar>
              <w:left w:w="108" w:type="dxa"/>
              <w:right w:w="108" w:type="dxa"/>
            </w:tcMar>
          </w:tcPr>
          <w:p w14:paraId="7D11F94C" w14:textId="2D727A55" w:rsidR="7449792B" w:rsidRDefault="7449792B" w:rsidP="005A3F21">
            <w:pPr>
              <w:pStyle w:val="ListParagraph"/>
              <w:numPr>
                <w:ilvl w:val="0"/>
                <w:numId w:val="19"/>
              </w:numPr>
              <w:spacing w:after="0"/>
              <w:ind w:left="360"/>
              <w:rPr>
                <w:rFonts w:ascii="Calibri" w:eastAsia="Calibri" w:hAnsi="Calibri" w:cs="Calibri"/>
                <w:lang w:val="en-GB"/>
              </w:rPr>
            </w:pPr>
            <w:r w:rsidRPr="7449792B">
              <w:rPr>
                <w:rFonts w:ascii="Calibri" w:eastAsia="Calibri" w:hAnsi="Calibri" w:cs="Calibri"/>
                <w:lang w:val="en-GB"/>
              </w:rPr>
              <w:t>DC switch disconnectors, circuit breakers or similar.</w:t>
            </w:r>
          </w:p>
          <w:p w14:paraId="19C32C6F" w14:textId="3967BB78" w:rsidR="7449792B" w:rsidRDefault="7449792B" w:rsidP="005A3F21">
            <w:pPr>
              <w:pStyle w:val="ListParagraph"/>
              <w:numPr>
                <w:ilvl w:val="0"/>
                <w:numId w:val="19"/>
              </w:numPr>
              <w:spacing w:after="0"/>
              <w:ind w:left="360"/>
              <w:rPr>
                <w:rFonts w:ascii="Calibri" w:eastAsia="Calibri" w:hAnsi="Calibri" w:cs="Calibri"/>
                <w:lang w:val="en-GB"/>
              </w:rPr>
            </w:pPr>
            <w:r w:rsidRPr="7449792B">
              <w:rPr>
                <w:rFonts w:ascii="Calibri" w:eastAsia="Calibri" w:hAnsi="Calibri" w:cs="Calibri"/>
                <w:lang w:val="en-GB"/>
              </w:rPr>
              <w:t>Surge-voltage and over-voltage protection (DC and AC).</w:t>
            </w:r>
          </w:p>
          <w:p w14:paraId="5C769CD0" w14:textId="5B9B00F8" w:rsidR="7449792B" w:rsidRDefault="7449792B" w:rsidP="005A3F21">
            <w:pPr>
              <w:pStyle w:val="ListParagraph"/>
              <w:numPr>
                <w:ilvl w:val="0"/>
                <w:numId w:val="19"/>
              </w:numPr>
              <w:spacing w:after="0"/>
              <w:ind w:left="360"/>
              <w:rPr>
                <w:rFonts w:ascii="Calibri" w:eastAsia="Calibri" w:hAnsi="Calibri" w:cs="Calibri"/>
                <w:lang w:val="en-GB"/>
              </w:rPr>
            </w:pPr>
            <w:r w:rsidRPr="7449792B">
              <w:rPr>
                <w:rFonts w:ascii="Calibri" w:eastAsia="Calibri" w:hAnsi="Calibri" w:cs="Calibri"/>
                <w:lang w:val="en-GB"/>
              </w:rPr>
              <w:t>Ground fault protector interrupter (GFPI) and monitoring.</w:t>
            </w:r>
          </w:p>
          <w:p w14:paraId="70E165A7" w14:textId="32D81F48" w:rsidR="7449792B" w:rsidRDefault="00051F32" w:rsidP="005A3F21">
            <w:pPr>
              <w:pStyle w:val="ListParagraph"/>
              <w:numPr>
                <w:ilvl w:val="0"/>
                <w:numId w:val="19"/>
              </w:numPr>
              <w:spacing w:after="0"/>
              <w:ind w:left="360"/>
              <w:rPr>
                <w:rFonts w:ascii="Calibri" w:eastAsia="Calibri" w:hAnsi="Calibri" w:cs="Calibri"/>
                <w:lang w:val="en-GB"/>
              </w:rPr>
            </w:pPr>
            <w:r w:rsidRPr="7449792B">
              <w:rPr>
                <w:rFonts w:ascii="Calibri" w:eastAsia="Calibri" w:hAnsi="Calibri" w:cs="Calibri"/>
                <w:lang w:val="en-GB"/>
              </w:rPr>
              <w:t>The converter</w:t>
            </w:r>
            <w:r w:rsidR="1E252587" w:rsidRPr="7449792B">
              <w:rPr>
                <w:rFonts w:ascii="Calibri" w:eastAsia="Calibri" w:hAnsi="Calibri" w:cs="Calibri"/>
                <w:lang w:val="en-GB"/>
              </w:rPr>
              <w:t xml:space="preserve"> </w:t>
            </w:r>
            <w:r w:rsidR="7449792B" w:rsidRPr="7449792B">
              <w:rPr>
                <w:rFonts w:ascii="Calibri" w:eastAsia="Calibri" w:hAnsi="Calibri" w:cs="Calibri"/>
                <w:lang w:val="en-GB"/>
              </w:rPr>
              <w:t>shall ensure that its electrical, mechanical, environmental and safety construction characteristics are certified by official laboratories, and it must be CE-marked.</w:t>
            </w:r>
          </w:p>
        </w:tc>
      </w:tr>
    </w:tbl>
    <w:p w14:paraId="64A08345" w14:textId="4972FCD3" w:rsidR="7449792B" w:rsidRDefault="7449792B" w:rsidP="7449792B">
      <w:pPr>
        <w:jc w:val="both"/>
        <w:rPr>
          <w:highlight w:val="yellow"/>
        </w:rPr>
      </w:pPr>
    </w:p>
    <w:p w14:paraId="1327DE86" w14:textId="108036F5" w:rsidR="001B19F4" w:rsidRPr="00515B9E" w:rsidRDefault="001B19F4" w:rsidP="7449792B">
      <w:pPr>
        <w:jc w:val="both"/>
      </w:pPr>
      <w:r w:rsidRPr="00515B9E">
        <w:t xml:space="preserve">Reactive control, among other topics (e.g., metering) are still being determined by the </w:t>
      </w:r>
      <w:r w:rsidR="003F35FD">
        <w:t xml:space="preserve">Lithuanian </w:t>
      </w:r>
      <w:r w:rsidRPr="00515B9E">
        <w:t xml:space="preserve">authorities. Therefore, we find suiting giving you the disclaimer that future equipment might be requested, such as extra PCS (only if the </w:t>
      </w:r>
      <w:r w:rsidR="003F35FD">
        <w:t>Lithuanian</w:t>
      </w:r>
      <w:r w:rsidRPr="00515B9E">
        <w:t xml:space="preserve"> authorities demand so).</w:t>
      </w:r>
    </w:p>
    <w:p w14:paraId="135933A2" w14:textId="77777777" w:rsidR="00F358C8" w:rsidRDefault="00F358C8" w:rsidP="00682B59">
      <w:pPr>
        <w:pStyle w:val="heading30"/>
        <w:numPr>
          <w:ilvl w:val="1"/>
          <w:numId w:val="18"/>
        </w:numPr>
        <w:spacing w:before="240" w:line="276" w:lineRule="auto"/>
      </w:pPr>
      <w:r>
        <w:t>System control and operation</w:t>
      </w:r>
    </w:p>
    <w:p w14:paraId="601E8380" w14:textId="46594A09" w:rsidR="00F358C8" w:rsidRPr="00F532A0" w:rsidRDefault="00F358C8" w:rsidP="002845F3">
      <w:pPr>
        <w:jc w:val="both"/>
        <w:rPr>
          <w:rFonts w:eastAsia="NSimSun" w:cs="Arial"/>
          <w:lang w:eastAsia="zh-CN" w:bidi="hi-IN"/>
        </w:rPr>
      </w:pPr>
      <w:r w:rsidRPr="035FCBD3">
        <w:rPr>
          <w:rFonts w:eastAsia="NSimSun" w:cs="Arial"/>
          <w:lang w:eastAsia="zh-CN" w:bidi="hi-IN"/>
        </w:rPr>
        <w:t>The BESS shall be controlled by a BESS PPC/SCADA and site-level controller</w:t>
      </w:r>
      <w:r w:rsidR="00B86337">
        <w:rPr>
          <w:rFonts w:eastAsia="NSimSun" w:cs="Arial"/>
          <w:lang w:eastAsia="zh-CN" w:bidi="hi-IN"/>
        </w:rPr>
        <w:t>.</w:t>
      </w:r>
      <w:r w:rsidRPr="035FCBD3">
        <w:rPr>
          <w:rFonts w:eastAsia="NSimSun" w:cs="Arial"/>
          <w:lang w:eastAsia="zh-CN" w:bidi="hi-IN"/>
        </w:rPr>
        <w:t xml:space="preserve"> The site-level controller </w:t>
      </w:r>
      <w:r w:rsidR="00156844">
        <w:rPr>
          <w:rFonts w:eastAsia="NSimSun" w:cs="Arial"/>
          <w:lang w:eastAsia="zh-CN" w:bidi="hi-IN"/>
        </w:rPr>
        <w:t xml:space="preserve">should be </w:t>
      </w:r>
      <w:r w:rsidRPr="035FCBD3">
        <w:rPr>
          <w:rFonts w:eastAsia="NSimSun" w:cs="Arial"/>
          <w:lang w:eastAsia="zh-CN" w:bidi="hi-IN"/>
        </w:rPr>
        <w:t xml:space="preserve">prequalified in </w:t>
      </w:r>
      <w:r w:rsidR="00156844">
        <w:rPr>
          <w:rFonts w:eastAsia="NSimSun" w:cs="Arial"/>
          <w:lang w:eastAsia="zh-CN" w:bidi="hi-IN"/>
        </w:rPr>
        <w:t>Lithuania</w:t>
      </w:r>
      <w:r w:rsidRPr="035FCBD3">
        <w:rPr>
          <w:rFonts w:eastAsia="NSimSun" w:cs="Arial"/>
          <w:lang w:eastAsia="zh-CN" w:bidi="hi-IN"/>
        </w:rPr>
        <w:t xml:space="preserve">. The BESS PPC/SCADA shall be capable of being controlled by the </w:t>
      </w:r>
      <w:r w:rsidR="002E4AC0">
        <w:rPr>
          <w:rFonts w:eastAsia="NSimSun" w:cs="Arial"/>
          <w:lang w:eastAsia="zh-CN" w:bidi="hi-IN"/>
        </w:rPr>
        <w:t xml:space="preserve">Transmission System Operator (TSO) and </w:t>
      </w:r>
      <w:r w:rsidRPr="035FCBD3">
        <w:rPr>
          <w:rFonts w:eastAsia="NSimSun" w:cs="Arial"/>
          <w:lang w:eastAsia="zh-CN" w:bidi="hi-IN"/>
        </w:rPr>
        <w:t xml:space="preserve">Route to Market Provider (RtM) to </w:t>
      </w:r>
      <w:r w:rsidR="00BF45C6" w:rsidRPr="035FCBD3">
        <w:rPr>
          <w:rFonts w:eastAsia="NSimSun" w:cs="Arial"/>
          <w:lang w:eastAsia="zh-CN" w:bidi="hi-IN"/>
        </w:rPr>
        <w:t>provide a</w:t>
      </w:r>
      <w:r w:rsidRPr="035FCBD3">
        <w:rPr>
          <w:rFonts w:eastAsia="NSimSun" w:cs="Arial"/>
          <w:lang w:eastAsia="zh-CN" w:bidi="hi-IN"/>
        </w:rPr>
        <w:t xml:space="preserve"> combination of the following services:</w:t>
      </w:r>
    </w:p>
    <w:p w14:paraId="516B7947" w14:textId="08093C9E" w:rsidR="00F358C8" w:rsidRDefault="05BA27C1" w:rsidP="002845F3">
      <w:pPr>
        <w:pStyle w:val="ListParagraph"/>
        <w:numPr>
          <w:ilvl w:val="0"/>
          <w:numId w:val="1"/>
        </w:numPr>
        <w:jc w:val="both"/>
      </w:pPr>
      <w:r>
        <w:t>Trading on the day ahead and in the Intraday markets</w:t>
      </w:r>
    </w:p>
    <w:p w14:paraId="2A8AAD41" w14:textId="27E7DC23" w:rsidR="00F358C8" w:rsidRDefault="05BA27C1" w:rsidP="035FCBD3">
      <w:pPr>
        <w:pStyle w:val="ListParagraph"/>
        <w:numPr>
          <w:ilvl w:val="0"/>
          <w:numId w:val="1"/>
        </w:numPr>
        <w:jc w:val="both"/>
      </w:pPr>
      <w:r>
        <w:t>Participation in aFRR, in both up and down directions.</w:t>
      </w:r>
    </w:p>
    <w:p w14:paraId="3C2B0801" w14:textId="1B9AD75C" w:rsidR="00F358C8" w:rsidRDefault="05BA27C1" w:rsidP="035FCBD3">
      <w:pPr>
        <w:pStyle w:val="ListParagraph"/>
        <w:numPr>
          <w:ilvl w:val="0"/>
          <w:numId w:val="1"/>
        </w:numPr>
        <w:jc w:val="both"/>
      </w:pPr>
      <w:r>
        <w:t>Participation in Balancing Markets</w:t>
      </w:r>
    </w:p>
    <w:p w14:paraId="74CA2A88" w14:textId="198C470D" w:rsidR="00F358C8" w:rsidRDefault="05BA27C1" w:rsidP="035FCBD3">
      <w:pPr>
        <w:pStyle w:val="ListParagraph"/>
        <w:numPr>
          <w:ilvl w:val="0"/>
          <w:numId w:val="1"/>
        </w:numPr>
        <w:jc w:val="both"/>
      </w:pPr>
      <w:r>
        <w:t>Participation in System Services.</w:t>
      </w:r>
    </w:p>
    <w:p w14:paraId="1E91162E" w14:textId="050F7E43" w:rsidR="00F358C8" w:rsidRDefault="00F358C8" w:rsidP="008E567C">
      <w:pPr>
        <w:pStyle w:val="ListParagraph"/>
        <w:jc w:val="both"/>
      </w:pPr>
    </w:p>
    <w:p w14:paraId="4FB76AC2" w14:textId="497A28DB" w:rsidR="00F358C8" w:rsidRDefault="05BA27C1" w:rsidP="002845F3">
      <w:pPr>
        <w:pStyle w:val="ListParagraph"/>
        <w:ind w:left="360"/>
        <w:jc w:val="both"/>
      </w:pPr>
      <w:r>
        <w:t>Moreover, the BESS shall be prepared for European level markets. We request the BESS to be prepared to operate in IGCC (FCR), PICASSO (aFRR), MARI (mFRR) and TERRE (RR).</w:t>
      </w:r>
      <w:r w:rsidR="2F05ECA7">
        <w:t xml:space="preserve"> The BESS may also participate in a to be created Capacity Market.</w:t>
      </w:r>
    </w:p>
    <w:p w14:paraId="2CEE2FB8" w14:textId="1D73E81E" w:rsidR="00F358C8" w:rsidRDefault="2BBE6268" w:rsidP="035FCBD3">
      <w:pPr>
        <w:pStyle w:val="ListParagraph"/>
        <w:ind w:left="360"/>
        <w:jc w:val="both"/>
      </w:pPr>
      <w:r>
        <w:t>Other possible services are voltage control and/or grid congestion.</w:t>
      </w:r>
    </w:p>
    <w:p w14:paraId="36B30629" w14:textId="464BC48C" w:rsidR="00F358C8" w:rsidRPr="00152EDE" w:rsidRDefault="00F358C8" w:rsidP="008E567C">
      <w:pPr>
        <w:jc w:val="both"/>
      </w:pPr>
      <w:r>
        <w:t>The Battery Supplier shall collaborate with the Employer to ensure that the proper communication with the</w:t>
      </w:r>
      <w:r w:rsidR="00733B65">
        <w:t xml:space="preserve"> TSO </w:t>
      </w:r>
      <w:r w:rsidR="00D7194E">
        <w:t>and RtM</w:t>
      </w:r>
      <w:r>
        <w:t xml:space="preserve"> provided software is achieved.</w:t>
      </w:r>
    </w:p>
    <w:p w14:paraId="0D0029F7" w14:textId="77777777" w:rsidR="00F358C8" w:rsidRPr="00EA0316" w:rsidRDefault="00F358C8" w:rsidP="008E567C">
      <w:pPr>
        <w:jc w:val="both"/>
      </w:pPr>
      <w:r w:rsidRPr="00EA0316">
        <w:t>The BESS PPC/SCADA shall be having 3 main modes:</w:t>
      </w:r>
    </w:p>
    <w:p w14:paraId="5A569EC1" w14:textId="77777777" w:rsidR="00F358C8" w:rsidRPr="00EA0316" w:rsidRDefault="00F358C8" w:rsidP="008E567C">
      <w:pPr>
        <w:pStyle w:val="ListParagraph"/>
        <w:numPr>
          <w:ilvl w:val="0"/>
          <w:numId w:val="12"/>
        </w:numPr>
        <w:jc w:val="both"/>
      </w:pPr>
      <w:r w:rsidRPr="00EA0316">
        <w:t xml:space="preserve">Manual control: the Employer can instruct the assets both on charge </w:t>
      </w:r>
      <w:proofErr w:type="gramStart"/>
      <w:r w:rsidRPr="00EA0316">
        <w:t>or</w:t>
      </w:r>
      <w:proofErr w:type="gramEnd"/>
      <w:r w:rsidRPr="00EA0316">
        <w:t xml:space="preserve"> discharge setpoints to the system</w:t>
      </w:r>
    </w:p>
    <w:p w14:paraId="48152A87" w14:textId="77777777" w:rsidR="00F358C8" w:rsidRPr="00EA0316" w:rsidRDefault="00F358C8" w:rsidP="008E567C">
      <w:pPr>
        <w:pStyle w:val="ListParagraph"/>
        <w:numPr>
          <w:ilvl w:val="0"/>
          <w:numId w:val="12"/>
        </w:numPr>
        <w:jc w:val="both"/>
      </w:pPr>
      <w:r w:rsidRPr="00EA0316">
        <w:t>Automated control; pre-programmed applications (SoC setpoints, Volt/VAR settings in accordance with the grid code requirements)</w:t>
      </w:r>
    </w:p>
    <w:p w14:paraId="6F0D63C4" w14:textId="6396A4FE" w:rsidR="00F358C8" w:rsidRPr="00EA0316" w:rsidRDefault="00F358C8" w:rsidP="008E567C">
      <w:pPr>
        <w:pStyle w:val="ListParagraph"/>
        <w:numPr>
          <w:ilvl w:val="0"/>
          <w:numId w:val="12"/>
        </w:numPr>
        <w:jc w:val="both"/>
      </w:pPr>
      <w:r w:rsidRPr="00EA0316">
        <w:t xml:space="preserve">Automated control </w:t>
      </w:r>
      <w:r w:rsidRPr="00EA0316">
        <w:rPr>
          <w:rFonts w:hint="cs"/>
        </w:rPr>
        <w:t>–</w:t>
      </w:r>
      <w:r w:rsidRPr="00EA0316">
        <w:t xml:space="preserve"> RtM </w:t>
      </w:r>
      <w:r w:rsidR="00BF45C6">
        <w:t xml:space="preserve">and TSO </w:t>
      </w:r>
      <w:r w:rsidRPr="00EA0316">
        <w:t>interface</w:t>
      </w:r>
    </w:p>
    <w:p w14:paraId="6FB95787" w14:textId="77777777" w:rsidR="00F358C8" w:rsidRDefault="00F358C8" w:rsidP="008E567C">
      <w:pPr>
        <w:jc w:val="both"/>
      </w:pPr>
      <w:r>
        <w:lastRenderedPageBreak/>
        <w:t>The BESS PPC/SCADA shall integrate the following functions as a minimum:</w:t>
      </w:r>
    </w:p>
    <w:p w14:paraId="345FC3AA" w14:textId="63C00660" w:rsidR="00F358C8" w:rsidRDefault="00F358C8" w:rsidP="008E567C">
      <w:pPr>
        <w:pStyle w:val="ListParagraph"/>
        <w:numPr>
          <w:ilvl w:val="0"/>
          <w:numId w:val="13"/>
        </w:numPr>
        <w:jc w:val="both"/>
      </w:pPr>
      <w:r>
        <w:t xml:space="preserve">Separate management of each individual battery/PCS block </w:t>
      </w:r>
      <w:r w:rsidR="00D7194E">
        <w:t>to</w:t>
      </w:r>
      <w:r>
        <w:t xml:space="preserve">: </w:t>
      </w:r>
    </w:p>
    <w:p w14:paraId="58E220B5" w14:textId="77777777" w:rsidR="00F358C8" w:rsidRDefault="00F358C8" w:rsidP="008E567C">
      <w:pPr>
        <w:pStyle w:val="ListParagraph"/>
        <w:numPr>
          <w:ilvl w:val="1"/>
          <w:numId w:val="13"/>
        </w:numPr>
        <w:jc w:val="both"/>
      </w:pPr>
      <w:r>
        <w:t>Maximize efficiency</w:t>
      </w:r>
    </w:p>
    <w:p w14:paraId="760D9252" w14:textId="58C170B5" w:rsidR="00F358C8" w:rsidRDefault="00F358C8" w:rsidP="008E567C">
      <w:pPr>
        <w:pStyle w:val="ListParagraph"/>
        <w:numPr>
          <w:ilvl w:val="1"/>
          <w:numId w:val="13"/>
        </w:numPr>
        <w:jc w:val="both"/>
      </w:pPr>
      <w:r>
        <w:t xml:space="preserve">Ensure SoC </w:t>
      </w:r>
      <w:r w:rsidR="0014797E">
        <w:t>balance</w:t>
      </w:r>
      <w:r>
        <w:t xml:space="preserve"> across all units to the maximum extent possible</w:t>
      </w:r>
    </w:p>
    <w:p w14:paraId="01B35A70" w14:textId="77777777" w:rsidR="00F358C8" w:rsidRDefault="00F358C8" w:rsidP="008E567C">
      <w:pPr>
        <w:pStyle w:val="ListParagraph"/>
        <w:numPr>
          <w:ilvl w:val="1"/>
          <w:numId w:val="13"/>
        </w:numPr>
        <w:jc w:val="both"/>
      </w:pPr>
      <w:r>
        <w:t>Ensure uniform degradation of all battery modules</w:t>
      </w:r>
    </w:p>
    <w:p w14:paraId="58A13DE6" w14:textId="100DB5CF" w:rsidR="00F358C8" w:rsidRDefault="00F358C8" w:rsidP="008E567C">
      <w:pPr>
        <w:pStyle w:val="ListParagraph"/>
        <w:numPr>
          <w:ilvl w:val="1"/>
          <w:numId w:val="13"/>
        </w:numPr>
        <w:jc w:val="both"/>
      </w:pPr>
      <w:r>
        <w:t xml:space="preserve">Minimize the impact of </w:t>
      </w:r>
      <w:r w:rsidR="0014797E">
        <w:t>equipment</w:t>
      </w:r>
      <w:r>
        <w:t xml:space="preserve"> unavailability. </w:t>
      </w:r>
    </w:p>
    <w:p w14:paraId="3CD077C6" w14:textId="77777777" w:rsidR="00F358C8" w:rsidRDefault="00F358C8" w:rsidP="008E567C">
      <w:pPr>
        <w:pStyle w:val="ListParagraph"/>
        <w:numPr>
          <w:ilvl w:val="1"/>
          <w:numId w:val="13"/>
        </w:numPr>
        <w:jc w:val="both"/>
      </w:pPr>
      <w:r>
        <w:t>Automated start and stop sequences allowing to safely switch on or off the system</w:t>
      </w:r>
    </w:p>
    <w:p w14:paraId="248FC1E5" w14:textId="77777777" w:rsidR="00F358C8" w:rsidRDefault="00F358C8" w:rsidP="008E567C">
      <w:pPr>
        <w:pStyle w:val="ListParagraph"/>
        <w:numPr>
          <w:ilvl w:val="1"/>
          <w:numId w:val="13"/>
        </w:numPr>
        <w:jc w:val="both"/>
      </w:pPr>
      <w:r>
        <w:t>Integration of fire and other safety alarms such that system operation is automatically stopped in case an alarm is triggered</w:t>
      </w:r>
    </w:p>
    <w:p w14:paraId="3A0E354D" w14:textId="790488CF" w:rsidR="00F358C8" w:rsidRDefault="0014797E" w:rsidP="008E567C">
      <w:pPr>
        <w:pStyle w:val="ListParagraph"/>
        <w:numPr>
          <w:ilvl w:val="1"/>
          <w:numId w:val="13"/>
        </w:numPr>
        <w:jc w:val="both"/>
      </w:pPr>
      <w:r>
        <w:t>Monitoring</w:t>
      </w:r>
      <w:r w:rsidR="00F358C8">
        <w:t xml:space="preserve"> temperature management and adjustment of the system operation to keep the temperature within acceptable range. </w:t>
      </w:r>
    </w:p>
    <w:p w14:paraId="4E1F8CE9" w14:textId="1C55DB8F" w:rsidR="00F358C8" w:rsidRDefault="00F358C8" w:rsidP="008E567C">
      <w:pPr>
        <w:pStyle w:val="ListParagraph"/>
        <w:numPr>
          <w:ilvl w:val="1"/>
          <w:numId w:val="13"/>
        </w:numPr>
        <w:jc w:val="both"/>
      </w:pPr>
      <w:r>
        <w:t xml:space="preserve">Hard limits to protect the system failure or breakdown caused by a potential parameter error put by the </w:t>
      </w:r>
      <w:r w:rsidR="00B46A6C">
        <w:t xml:space="preserve">RtM </w:t>
      </w:r>
      <w:r>
        <w:t>provider.</w:t>
      </w:r>
    </w:p>
    <w:p w14:paraId="2B6D9A7E" w14:textId="54CF5C9E" w:rsidR="00F358C8" w:rsidRDefault="00F358C8" w:rsidP="00F358C8">
      <w:pPr>
        <w:jc w:val="both"/>
      </w:pPr>
      <w:r w:rsidRPr="00871A29">
        <w:t>The</w:t>
      </w:r>
      <w:r>
        <w:t xml:space="preserve"> BESS</w:t>
      </w:r>
      <w:r w:rsidRPr="00871A29">
        <w:t xml:space="preserve"> </w:t>
      </w:r>
      <w:r w:rsidRPr="089E0C4E">
        <w:t>PPC</w:t>
      </w:r>
      <w:r>
        <w:t>/SCADA</w:t>
      </w:r>
      <w:r w:rsidRPr="00871A29">
        <w:t xml:space="preserve"> will be i</w:t>
      </w:r>
      <w:r>
        <w:t xml:space="preserve">ntegrated with the DSO and </w:t>
      </w:r>
      <w:r w:rsidR="7C40CA1E">
        <w:t>TSO</w:t>
      </w:r>
      <w:r>
        <w:t xml:space="preserve"> and will prioritize all setpoint </w:t>
      </w:r>
      <w:r w:rsidR="00E4617B">
        <w:t>commands as</w:t>
      </w:r>
      <w:r>
        <w:t xml:space="preserve"> mandated within </w:t>
      </w:r>
      <w:proofErr w:type="spellStart"/>
      <w:r w:rsidR="000B282E">
        <w:t>Lithuania</w:t>
      </w:r>
      <w:r w:rsidR="007B46EE">
        <w:t>Grid</w:t>
      </w:r>
      <w:proofErr w:type="spellEnd"/>
      <w:r w:rsidR="007B46EE">
        <w:t xml:space="preserve"> Code</w:t>
      </w:r>
      <w:r>
        <w:t>.</w:t>
      </w:r>
    </w:p>
    <w:p w14:paraId="26CC9111" w14:textId="32210CF0" w:rsidR="00F358C8" w:rsidRDefault="00F358C8" w:rsidP="00C51167">
      <w:pPr>
        <w:jc w:val="both"/>
      </w:pPr>
      <w:r>
        <w:t xml:space="preserve">The Battery Supplier shall demonstrate compliance with </w:t>
      </w:r>
      <w:proofErr w:type="spellStart"/>
      <w:r w:rsidR="000B282E">
        <w:t>Lithuania</w:t>
      </w:r>
      <w:r w:rsidR="00AF1398">
        <w:t>Grid</w:t>
      </w:r>
      <w:proofErr w:type="spellEnd"/>
      <w:r w:rsidR="00AF1398">
        <w:t xml:space="preserve"> Code</w:t>
      </w:r>
      <w:r>
        <w:t xml:space="preserve"> through:</w:t>
      </w:r>
    </w:p>
    <w:p w14:paraId="10E602FC" w14:textId="77777777" w:rsidR="00F358C8" w:rsidRDefault="00F358C8" w:rsidP="00C51167">
      <w:pPr>
        <w:pStyle w:val="ListParagraph"/>
        <w:numPr>
          <w:ilvl w:val="0"/>
          <w:numId w:val="15"/>
        </w:numPr>
        <w:suppressAutoHyphens/>
        <w:overflowPunct w:val="0"/>
        <w:jc w:val="both"/>
      </w:pPr>
      <w:r>
        <w:t xml:space="preserve">Provision of a BESS numerical model under PSCAD, </w:t>
      </w:r>
      <w:proofErr w:type="spellStart"/>
      <w:r>
        <w:t>DigSilent</w:t>
      </w:r>
      <w:proofErr w:type="spellEnd"/>
      <w:r>
        <w:t xml:space="preserve"> </w:t>
      </w:r>
      <w:proofErr w:type="spellStart"/>
      <w:r>
        <w:t>Powerfactory</w:t>
      </w:r>
      <w:proofErr w:type="spellEnd"/>
      <w:r>
        <w:t xml:space="preserve"> or equivalent software, enabling to simulate all required functions</w:t>
      </w:r>
    </w:p>
    <w:p w14:paraId="630D2DCD" w14:textId="77777777" w:rsidR="00F358C8" w:rsidRPr="00621DDB" w:rsidRDefault="00F358C8" w:rsidP="00C51167">
      <w:pPr>
        <w:pStyle w:val="ListParagraph"/>
        <w:numPr>
          <w:ilvl w:val="0"/>
          <w:numId w:val="15"/>
        </w:numPr>
        <w:suppressAutoHyphens/>
        <w:overflowPunct w:val="0"/>
        <w:jc w:val="both"/>
      </w:pPr>
      <w:r>
        <w:t>Development and performance of unitary tests during commissioning demonstrating alignment between the provided model and the physical test results</w:t>
      </w:r>
    </w:p>
    <w:p w14:paraId="0BA2EA6B" w14:textId="0AC9B290" w:rsidR="00F358C8" w:rsidRDefault="006944F0" w:rsidP="006944F0">
      <w:pPr>
        <w:pStyle w:val="heading30"/>
        <w:numPr>
          <w:ilvl w:val="1"/>
          <w:numId w:val="18"/>
        </w:numPr>
        <w:spacing w:before="240" w:line="276" w:lineRule="auto"/>
      </w:pPr>
      <w:r>
        <w:t>Technical Documentation</w:t>
      </w:r>
    </w:p>
    <w:p w14:paraId="0BB8E37C" w14:textId="7E88CBB7" w:rsidR="009F412A" w:rsidRDefault="005110D2" w:rsidP="00EA437F">
      <w:pPr>
        <w:pStyle w:val="ListParagraph"/>
        <w:suppressAutoHyphens/>
        <w:overflowPunct w:val="0"/>
        <w:jc w:val="both"/>
      </w:pPr>
      <w:r>
        <w:t xml:space="preserve">The following documentation should </w:t>
      </w:r>
      <w:r w:rsidR="004916E2">
        <w:t xml:space="preserve">at least </w:t>
      </w:r>
      <w:r>
        <w:t>be delivered</w:t>
      </w:r>
      <w:r w:rsidR="004916E2">
        <w:t xml:space="preserve"> to be considered in the </w:t>
      </w:r>
      <w:r w:rsidR="0018335F">
        <w:t xml:space="preserve">tender: </w:t>
      </w:r>
    </w:p>
    <w:p w14:paraId="38796430" w14:textId="28713839" w:rsidR="006944F0" w:rsidRDefault="00E8717F">
      <w:pPr>
        <w:pStyle w:val="ListParagraph"/>
        <w:numPr>
          <w:ilvl w:val="0"/>
          <w:numId w:val="15"/>
        </w:numPr>
        <w:suppressAutoHyphens/>
        <w:overflowPunct w:val="0"/>
        <w:jc w:val="both"/>
      </w:pPr>
      <w:r>
        <w:t xml:space="preserve">Project SLD </w:t>
      </w:r>
    </w:p>
    <w:p w14:paraId="1A7B84B4" w14:textId="73561595" w:rsidR="0018335F" w:rsidRDefault="000B4BE1">
      <w:pPr>
        <w:pStyle w:val="ListParagraph"/>
        <w:numPr>
          <w:ilvl w:val="0"/>
          <w:numId w:val="15"/>
        </w:numPr>
        <w:suppressAutoHyphens/>
        <w:overflowPunct w:val="0"/>
        <w:jc w:val="both"/>
      </w:pPr>
      <w:r>
        <w:t>Communication Architecture</w:t>
      </w:r>
      <w:r w:rsidR="006F52CD">
        <w:t xml:space="preserve"> of PPC and EMS, including schematics to connect to the substation. </w:t>
      </w:r>
      <w:r w:rsidR="003F3BEC">
        <w:t>This document should clearly define the Scope of Work vision of the supplier</w:t>
      </w:r>
    </w:p>
    <w:p w14:paraId="59C8104E" w14:textId="48DBCE0A" w:rsidR="000B4BE1" w:rsidRDefault="000B4BE1">
      <w:pPr>
        <w:pStyle w:val="ListParagraph"/>
        <w:numPr>
          <w:ilvl w:val="0"/>
          <w:numId w:val="15"/>
        </w:numPr>
        <w:suppressAutoHyphens/>
        <w:overflowPunct w:val="0"/>
        <w:jc w:val="both"/>
      </w:pPr>
      <w:r>
        <w:t>Auxiliary consumption</w:t>
      </w:r>
    </w:p>
    <w:p w14:paraId="5BCA4160" w14:textId="78DBA2B4" w:rsidR="000B4BE1" w:rsidRDefault="005A2FB9">
      <w:pPr>
        <w:pStyle w:val="ListParagraph"/>
        <w:numPr>
          <w:ilvl w:val="0"/>
          <w:numId w:val="15"/>
        </w:numPr>
        <w:suppressAutoHyphens/>
        <w:overflowPunct w:val="0"/>
        <w:jc w:val="both"/>
      </w:pPr>
      <w:r>
        <w:t xml:space="preserve">Nominal Capacity, </w:t>
      </w:r>
      <w:r w:rsidR="00C67AC0">
        <w:t xml:space="preserve">Usable </w:t>
      </w:r>
      <w:r w:rsidR="005817F2">
        <w:t>C</w:t>
      </w:r>
      <w:r w:rsidR="00C67AC0">
        <w:t>apacity before auxiliar</w:t>
      </w:r>
      <w:r w:rsidR="001064DC">
        <w:t>y consumption</w:t>
      </w:r>
      <w:r w:rsidR="00C67AC0">
        <w:t xml:space="preserve">, </w:t>
      </w:r>
      <w:r w:rsidR="005817F2">
        <w:t xml:space="preserve">Usable Capacity </w:t>
      </w:r>
      <w:r w:rsidR="006426C1">
        <w:t>after auxiliar</w:t>
      </w:r>
      <w:r w:rsidR="001064DC">
        <w:t>y consumption</w:t>
      </w:r>
      <w:r w:rsidR="00244925">
        <w:t xml:space="preserve"> and</w:t>
      </w:r>
      <w:r w:rsidR="006426C1">
        <w:t xml:space="preserve"> </w:t>
      </w:r>
      <w:r w:rsidR="00414564">
        <w:t>Round-Trip</w:t>
      </w:r>
      <w:r w:rsidR="00FB149F">
        <w:t xml:space="preserve"> Efficiency (RTE)</w:t>
      </w:r>
      <w:r w:rsidR="001064DC">
        <w:t xml:space="preserve">, for all the years considered in the lifetime. </w:t>
      </w:r>
      <w:r w:rsidR="005B2C63">
        <w:t xml:space="preserve">Consider the losses </w:t>
      </w:r>
      <w:r w:rsidR="00474AAB">
        <w:t xml:space="preserve">only on supplier components. </w:t>
      </w:r>
      <w:r w:rsidR="00622321">
        <w:t xml:space="preserve">Usable Capacity definition is </w:t>
      </w:r>
      <w:r w:rsidR="009A2D6F">
        <w:t xml:space="preserve">energy available for trader, considering all </w:t>
      </w:r>
      <w:r w:rsidR="007C166A">
        <w:t xml:space="preserve">operational restriction on supplier BES system. </w:t>
      </w:r>
    </w:p>
    <w:p w14:paraId="574B611E" w14:textId="5725B4FB" w:rsidR="001064DC" w:rsidRDefault="009B6870">
      <w:pPr>
        <w:pStyle w:val="ListParagraph"/>
        <w:numPr>
          <w:ilvl w:val="0"/>
          <w:numId w:val="15"/>
        </w:numPr>
        <w:suppressAutoHyphens/>
        <w:overflowPunct w:val="0"/>
        <w:jc w:val="both"/>
      </w:pPr>
      <w:r>
        <w:t xml:space="preserve">Cost and conditions of </w:t>
      </w:r>
      <w:r w:rsidR="00BB5805">
        <w:t>Long-Term</w:t>
      </w:r>
      <w:r w:rsidR="00137CEC">
        <w:t xml:space="preserve"> </w:t>
      </w:r>
      <w:r w:rsidR="00D3114B">
        <w:t xml:space="preserve">Service </w:t>
      </w:r>
      <w:r w:rsidR="00137CEC">
        <w:t>Agreement</w:t>
      </w:r>
      <w:r w:rsidR="00D3114B">
        <w:t xml:space="preserve"> (LTSA) </w:t>
      </w:r>
      <w:r w:rsidR="0038149D">
        <w:t xml:space="preserve">or maintenance </w:t>
      </w:r>
      <w:r w:rsidR="000073E4">
        <w:t xml:space="preserve">contract to </w:t>
      </w:r>
      <w:r>
        <w:t>secure the performance guarantee</w:t>
      </w:r>
      <w:r w:rsidR="00BB5805">
        <w:t xml:space="preserve"> and RTE</w:t>
      </w:r>
      <w:r>
        <w:t xml:space="preserve"> for the lifetime of </w:t>
      </w:r>
      <w:r w:rsidR="00F94951">
        <w:t>19</w:t>
      </w:r>
      <w:r>
        <w:t xml:space="preserve"> years. </w:t>
      </w:r>
      <w:r w:rsidR="00BB5805">
        <w:t>Costs v</w:t>
      </w:r>
      <w:r>
        <w:t>ariation per year are acceptable.</w:t>
      </w:r>
    </w:p>
    <w:p w14:paraId="7998AAAE" w14:textId="7CF98832" w:rsidR="00BB5805" w:rsidRDefault="006C4334">
      <w:pPr>
        <w:pStyle w:val="ListParagraph"/>
        <w:numPr>
          <w:ilvl w:val="0"/>
          <w:numId w:val="15"/>
        </w:numPr>
        <w:suppressAutoHyphens/>
        <w:overflowPunct w:val="0"/>
        <w:jc w:val="both"/>
      </w:pPr>
      <w:r>
        <w:t xml:space="preserve">PPC </w:t>
      </w:r>
      <w:r w:rsidR="008F1326">
        <w:t xml:space="preserve">full certificate </w:t>
      </w:r>
      <w:r w:rsidR="001B714D">
        <w:t>to operate in the Lithuanian grid</w:t>
      </w:r>
    </w:p>
    <w:p w14:paraId="551D910E" w14:textId="7E294553" w:rsidR="0020176A" w:rsidRDefault="00611CD6">
      <w:pPr>
        <w:pStyle w:val="ListParagraph"/>
        <w:numPr>
          <w:ilvl w:val="0"/>
          <w:numId w:val="15"/>
        </w:numPr>
        <w:suppressAutoHyphens/>
        <w:overflowPunct w:val="0"/>
        <w:jc w:val="both"/>
      </w:pPr>
      <w:r>
        <w:t xml:space="preserve">Thermal </w:t>
      </w:r>
      <w:r w:rsidR="00E363EB">
        <w:t>behavior</w:t>
      </w:r>
      <w:r w:rsidR="001B782A">
        <w:t xml:space="preserve"> </w:t>
      </w:r>
      <w:r w:rsidR="00E363EB">
        <w:t>th</w:t>
      </w:r>
      <w:r w:rsidR="0020176A">
        <w:t xml:space="preserve">rough time </w:t>
      </w:r>
      <w:r w:rsidR="001B782A">
        <w:t xml:space="preserve">of inverters </w:t>
      </w:r>
      <w:r w:rsidR="00364CA3">
        <w:t xml:space="preserve">of </w:t>
      </w:r>
      <w:r w:rsidR="00CE5A3E">
        <w:t xml:space="preserve">Power Converters Systems </w:t>
      </w:r>
      <w:r w:rsidR="001B782A">
        <w:t>and MV</w:t>
      </w:r>
      <w:r w:rsidR="0020176A">
        <w:t xml:space="preserve"> components</w:t>
      </w:r>
    </w:p>
    <w:p w14:paraId="5B5F93E7" w14:textId="22A7402C" w:rsidR="001B714D" w:rsidRDefault="00842DE5">
      <w:pPr>
        <w:pStyle w:val="ListParagraph"/>
        <w:numPr>
          <w:ilvl w:val="0"/>
          <w:numId w:val="15"/>
        </w:numPr>
        <w:suppressAutoHyphens/>
        <w:overflowPunct w:val="0"/>
        <w:jc w:val="both"/>
      </w:pPr>
      <w:r>
        <w:t xml:space="preserve">Harmonic test of </w:t>
      </w:r>
      <w:r w:rsidR="00364CA3">
        <w:t xml:space="preserve">inverters </w:t>
      </w:r>
      <w:r w:rsidR="00CE5A3E">
        <w:t xml:space="preserve">and MV components. </w:t>
      </w:r>
    </w:p>
    <w:p w14:paraId="5A5E7383" w14:textId="67E25642" w:rsidR="002D7ED8" w:rsidRDefault="002D7ED8">
      <w:pPr>
        <w:pStyle w:val="ListParagraph"/>
        <w:numPr>
          <w:ilvl w:val="0"/>
          <w:numId w:val="15"/>
        </w:numPr>
        <w:suppressAutoHyphens/>
        <w:overflowPunct w:val="0"/>
        <w:jc w:val="both"/>
      </w:pPr>
      <w:r>
        <w:lastRenderedPageBreak/>
        <w:t xml:space="preserve">Fire </w:t>
      </w:r>
      <w:r w:rsidR="00540604">
        <w:t>Risk</w:t>
      </w:r>
      <w:r w:rsidR="00965B48">
        <w:t xml:space="preserve"> mitigation documentation. </w:t>
      </w:r>
    </w:p>
    <w:p w14:paraId="20374D82" w14:textId="708D58DD" w:rsidR="008F27D5" w:rsidRDefault="008F27D5">
      <w:pPr>
        <w:pStyle w:val="ListParagraph"/>
        <w:numPr>
          <w:ilvl w:val="0"/>
          <w:numId w:val="15"/>
        </w:numPr>
        <w:suppressAutoHyphens/>
        <w:overflowPunct w:val="0"/>
        <w:jc w:val="both"/>
      </w:pPr>
      <w:r>
        <w:t>Burn Test report</w:t>
      </w:r>
      <w:r w:rsidR="008A7C9A">
        <w:t xml:space="preserve"> done by an independent </w:t>
      </w:r>
      <w:r w:rsidR="00910BA5">
        <w:t xml:space="preserve">partner. </w:t>
      </w:r>
    </w:p>
    <w:p w14:paraId="0321810A" w14:textId="0B440E3D" w:rsidR="00910BA5" w:rsidRDefault="00910BA5" w:rsidP="00EA437F">
      <w:pPr>
        <w:pStyle w:val="ListParagraph"/>
        <w:numPr>
          <w:ilvl w:val="0"/>
          <w:numId w:val="15"/>
        </w:numPr>
        <w:suppressAutoHyphens/>
        <w:overflowPunct w:val="0"/>
        <w:jc w:val="both"/>
      </w:pPr>
      <w:r>
        <w:t xml:space="preserve">Product </w:t>
      </w:r>
      <w:r w:rsidR="0021786E">
        <w:t>installation manual, datasheet</w:t>
      </w:r>
      <w:r w:rsidR="007803EE">
        <w:t>,</w:t>
      </w:r>
      <w:r w:rsidR="00BE6046">
        <w:t xml:space="preserve"> </w:t>
      </w:r>
      <w:r w:rsidR="00DE3985">
        <w:t>foundation</w:t>
      </w:r>
      <w:r w:rsidR="00CF6E04">
        <w:t xml:space="preserve">s </w:t>
      </w:r>
      <w:r w:rsidR="00BE6046">
        <w:t>and component distribution schematic</w:t>
      </w:r>
      <w:r w:rsidR="00DE3985">
        <w:t xml:space="preserve">s. </w:t>
      </w:r>
    </w:p>
    <w:p w14:paraId="0407AF4A" w14:textId="77777777" w:rsidR="00F358C8" w:rsidRDefault="00F358C8" w:rsidP="00682B59">
      <w:pPr>
        <w:pStyle w:val="heading30"/>
        <w:numPr>
          <w:ilvl w:val="1"/>
          <w:numId w:val="18"/>
        </w:numPr>
        <w:spacing w:before="240" w:line="276" w:lineRule="auto"/>
      </w:pPr>
      <w:bookmarkStart w:id="18" w:name="_Toc171431164"/>
      <w:r>
        <w:t>Certification</w:t>
      </w:r>
      <w:bookmarkEnd w:id="18"/>
    </w:p>
    <w:p w14:paraId="517145D1" w14:textId="583B98BA" w:rsidR="007A7D41" w:rsidRDefault="00F358C8" w:rsidP="00BB3010">
      <w:pPr>
        <w:jc w:val="both"/>
      </w:pPr>
      <w:r>
        <w:t xml:space="preserve">The Battery Supplier shall be responsible of providing all the necessary equipment certification documents required to operate a BESS in </w:t>
      </w:r>
      <w:r w:rsidR="00C10373">
        <w:t xml:space="preserve">Lithuania </w:t>
      </w:r>
      <w:r w:rsidR="004B15BB">
        <w:t xml:space="preserve">and </w:t>
      </w:r>
      <w:r>
        <w:t xml:space="preserve">in line </w:t>
      </w:r>
      <w:r w:rsidR="004B15BB">
        <w:t>with</w:t>
      </w:r>
      <w:r w:rsidR="00356BF5">
        <w:t xml:space="preserve"> </w:t>
      </w:r>
      <w:r w:rsidR="00C10373">
        <w:t xml:space="preserve">Lithuania </w:t>
      </w:r>
      <w:r w:rsidR="00356BF5">
        <w:t>Grid Code</w:t>
      </w:r>
      <w:r>
        <w:t>.</w:t>
      </w:r>
    </w:p>
    <w:p w14:paraId="6F798294" w14:textId="29AA6DFF" w:rsidR="00F358C8" w:rsidRDefault="00F358C8" w:rsidP="00682B59">
      <w:pPr>
        <w:pStyle w:val="heading30"/>
        <w:numPr>
          <w:ilvl w:val="1"/>
          <w:numId w:val="18"/>
        </w:numPr>
        <w:spacing w:before="240" w:line="276" w:lineRule="auto"/>
      </w:pPr>
      <w:r>
        <w:t xml:space="preserve"> </w:t>
      </w:r>
      <w:bookmarkStart w:id="19" w:name="_Toc171431165"/>
      <w:r>
        <w:t>Commissioning</w:t>
      </w:r>
      <w:bookmarkEnd w:id="19"/>
    </w:p>
    <w:p w14:paraId="23936B31" w14:textId="2CE1152B" w:rsidR="00F358C8" w:rsidRPr="00871A29" w:rsidRDefault="00F358C8" w:rsidP="00F358C8">
      <w:pPr>
        <w:jc w:val="both"/>
      </w:pPr>
      <w:r>
        <w:t xml:space="preserve">The Battery Supplier shall be responsible for </w:t>
      </w:r>
      <w:r w:rsidR="00C53450">
        <w:t xml:space="preserve">on-site </w:t>
      </w:r>
      <w:r>
        <w:t>cold and hot commissioning its equipment (Battery Containers, PCSs, transformers and RMUs</w:t>
      </w:r>
      <w:r w:rsidR="343D33DF">
        <w:t>)</w:t>
      </w:r>
      <w:r>
        <w:t xml:space="preserve"> excluding RMU energization and MV transformer energization / switching or HV/MV switching. As part of the Commissioning process the Battery Supplier shall deliver to the Employer all </w:t>
      </w:r>
      <w:r w:rsidR="00A02AC3">
        <w:t xml:space="preserve">Project </w:t>
      </w:r>
      <w:r w:rsidRPr="007A7D41">
        <w:t xml:space="preserve">documentation in-line with applicable </w:t>
      </w:r>
      <w:r w:rsidR="00782E3A">
        <w:t>Lithuanian</w:t>
      </w:r>
      <w:r w:rsidR="00782E3A" w:rsidRPr="007A7D41">
        <w:t xml:space="preserve"> </w:t>
      </w:r>
      <w:r w:rsidRPr="007A7D41">
        <w:t xml:space="preserve">regulations necessary when commissioning the battery equipment such as statements that equipment has been pre-tested in line </w:t>
      </w:r>
      <w:r w:rsidR="002B40D7" w:rsidRPr="007A7D41">
        <w:t xml:space="preserve">with </w:t>
      </w:r>
      <w:r w:rsidR="003F35FD">
        <w:t>Lithuanian</w:t>
      </w:r>
      <w:r w:rsidR="003F35FD" w:rsidRPr="007A7D41">
        <w:t xml:space="preserve"> </w:t>
      </w:r>
      <w:r w:rsidRPr="007A7D41">
        <w:t>standards.</w:t>
      </w:r>
    </w:p>
    <w:p w14:paraId="6984015A" w14:textId="77777777" w:rsidR="00F358C8" w:rsidRDefault="00F358C8" w:rsidP="00F358C8"/>
    <w:p w14:paraId="0834CFA3" w14:textId="77777777" w:rsidR="00F358C8" w:rsidRDefault="00F358C8" w:rsidP="00682B59">
      <w:pPr>
        <w:pStyle w:val="heading30"/>
        <w:numPr>
          <w:ilvl w:val="1"/>
          <w:numId w:val="18"/>
        </w:numPr>
        <w:spacing w:before="240" w:line="276" w:lineRule="auto"/>
      </w:pPr>
      <w:bookmarkStart w:id="20" w:name="_Toc171431166"/>
      <w:r>
        <w:t>Testing and acceptance</w:t>
      </w:r>
      <w:bookmarkEnd w:id="20"/>
    </w:p>
    <w:p w14:paraId="6D0E4FF1" w14:textId="77777777" w:rsidR="00F358C8" w:rsidRDefault="00F358C8" w:rsidP="00F358C8">
      <w:r>
        <w:t>The following shall be submitted as a minimum in electronic and paper format:</w:t>
      </w:r>
    </w:p>
    <w:p w14:paraId="591DC570" w14:textId="77777777" w:rsidR="00F358C8" w:rsidRDefault="00F358C8" w:rsidP="00F358C8">
      <w:pPr>
        <w:pStyle w:val="ListParagraph"/>
        <w:numPr>
          <w:ilvl w:val="0"/>
          <w:numId w:val="14"/>
        </w:numPr>
      </w:pPr>
      <w:r>
        <w:t>Final as-built documentation for all batteries and associated equipment including all protection settings</w:t>
      </w:r>
    </w:p>
    <w:p w14:paraId="662C4150" w14:textId="77777777" w:rsidR="00F358C8" w:rsidRDefault="00F358C8" w:rsidP="00F358C8">
      <w:pPr>
        <w:pStyle w:val="ListParagraph"/>
        <w:numPr>
          <w:ilvl w:val="0"/>
          <w:numId w:val="14"/>
        </w:numPr>
      </w:pPr>
      <w:r>
        <w:t>All site commissioning test results</w:t>
      </w:r>
    </w:p>
    <w:p w14:paraId="4AD27BEB" w14:textId="77777777" w:rsidR="00F358C8" w:rsidRDefault="00F358C8" w:rsidP="00F358C8">
      <w:pPr>
        <w:pStyle w:val="ListParagraph"/>
        <w:numPr>
          <w:ilvl w:val="0"/>
          <w:numId w:val="14"/>
        </w:numPr>
      </w:pPr>
      <w:r>
        <w:t>O&amp;M manuals</w:t>
      </w:r>
    </w:p>
    <w:p w14:paraId="07E8C8C1" w14:textId="77777777" w:rsidR="00F358C8" w:rsidRDefault="00F358C8" w:rsidP="00F358C8">
      <w:pPr>
        <w:pStyle w:val="ListParagraph"/>
        <w:numPr>
          <w:ilvl w:val="0"/>
          <w:numId w:val="14"/>
        </w:numPr>
      </w:pPr>
      <w:r>
        <w:t>Warranty documentation</w:t>
      </w:r>
    </w:p>
    <w:p w14:paraId="086A5A8D" w14:textId="77777777" w:rsidR="00F358C8" w:rsidRDefault="00F358C8" w:rsidP="00F358C8"/>
    <w:p w14:paraId="73207CCE" w14:textId="77777777" w:rsidR="00F358C8" w:rsidRDefault="00F358C8" w:rsidP="00682B59">
      <w:pPr>
        <w:pStyle w:val="heading30"/>
        <w:numPr>
          <w:ilvl w:val="1"/>
          <w:numId w:val="18"/>
        </w:numPr>
        <w:spacing w:before="240" w:line="276" w:lineRule="auto"/>
      </w:pPr>
      <w:bookmarkStart w:id="21" w:name="_Toc171431167"/>
      <w:r>
        <w:t>End of life planning</w:t>
      </w:r>
      <w:bookmarkEnd w:id="21"/>
    </w:p>
    <w:p w14:paraId="4060E3C5" w14:textId="51F5E4DB" w:rsidR="00F358C8" w:rsidRDefault="00F358C8" w:rsidP="00994BCD">
      <w:pPr>
        <w:rPr>
          <w:lang w:val="en-GB"/>
        </w:rPr>
      </w:pPr>
      <w:r>
        <w:t xml:space="preserve">The Battery Supplier shall provide all technical guidelines on the safe handling, removal and </w:t>
      </w:r>
      <w:r w:rsidR="00647B82">
        <w:t xml:space="preserve">recycling </w:t>
      </w:r>
      <w:r>
        <w:t>of the battery modules at the end of life.</w:t>
      </w:r>
      <w:r>
        <w:br/>
        <w:t xml:space="preserve">The Battery Supplier shall remain responsible for disposal of the used battery modules during the lifetime of the Project and at end life </w:t>
      </w:r>
      <w:r w:rsidRPr="10FCEC34">
        <w:rPr>
          <w:lang w:val="en-GB"/>
        </w:rPr>
        <w:t>pursuant to the Agreement and in accordance with applicable laws.</w:t>
      </w:r>
    </w:p>
    <w:p w14:paraId="600EDCFF" w14:textId="77777777" w:rsidR="00F358C8" w:rsidRDefault="00F358C8" w:rsidP="00F358C8"/>
    <w:p w14:paraId="35411A13" w14:textId="77777777" w:rsidR="00F358C8" w:rsidRDefault="00F358C8" w:rsidP="00682B59">
      <w:pPr>
        <w:pStyle w:val="heading30"/>
        <w:numPr>
          <w:ilvl w:val="1"/>
          <w:numId w:val="18"/>
        </w:numPr>
        <w:spacing w:before="240" w:line="276" w:lineRule="auto"/>
      </w:pPr>
      <w:bookmarkStart w:id="22" w:name="_Toc171431168"/>
      <w:r>
        <w:lastRenderedPageBreak/>
        <w:t>Engineering standards</w:t>
      </w:r>
      <w:bookmarkEnd w:id="22"/>
    </w:p>
    <w:p w14:paraId="1D9212E9" w14:textId="615979AA" w:rsidR="00F358C8" w:rsidRPr="006808DC" w:rsidRDefault="00F358C8" w:rsidP="002B40D7">
      <w:pPr>
        <w:spacing w:before="120"/>
        <w:jc w:val="both"/>
      </w:pPr>
      <w:r>
        <w:t xml:space="preserve">The equipment supplied by the Battery Supplier shall be compliant with the standards and regulations listed in the tables below and any other applicable standard and regulation for BESS in </w:t>
      </w:r>
      <w:r w:rsidR="006C3B1C">
        <w:t>Lithuania</w:t>
      </w:r>
      <w:r w:rsidR="000A594C">
        <w:t xml:space="preserve"> </w:t>
      </w:r>
      <w:r>
        <w:t xml:space="preserve">at the time of signature. Local </w:t>
      </w:r>
      <w:r w:rsidR="00953138">
        <w:t>standards</w:t>
      </w:r>
      <w:r>
        <w:t xml:space="preserve"> shall prevail over international ones. The Battery Supplier shall submit a design basis with the standards relevant to each equipment to the Employer one (1) month before the FAT of the respective equipment.</w:t>
      </w:r>
    </w:p>
    <w:p w14:paraId="07EC3D7B" w14:textId="409D57A8" w:rsidR="00F358C8" w:rsidRPr="00BA63E4" w:rsidRDefault="00F358C8" w:rsidP="002B40D7">
      <w:pPr>
        <w:spacing w:before="120"/>
        <w:jc w:val="both"/>
      </w:pPr>
      <w:r>
        <w:t xml:space="preserve">In case that the Employer requires compliance to additional standards or regulations, which are not enforced or requested by the </w:t>
      </w:r>
      <w:r w:rsidR="002633D9">
        <w:t xml:space="preserve">Lithuanian </w:t>
      </w:r>
      <w:r>
        <w:t>authorities, regulators or policy makers, the Supplier will consider such request and provide a Variation Order offer for such addition to the Employer.</w:t>
      </w:r>
    </w:p>
    <w:p w14:paraId="0CFF3A14" w14:textId="77777777" w:rsidR="00F358C8" w:rsidRPr="006808DC" w:rsidRDefault="00F358C8" w:rsidP="00F358C8">
      <w:pPr>
        <w:rPr>
          <w:color w:val="FF0000"/>
        </w:rPr>
      </w:pPr>
    </w:p>
    <w:tbl>
      <w:tblPr>
        <w:tblW w:w="9360"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60"/>
        <w:gridCol w:w="7200"/>
      </w:tblGrid>
      <w:tr w:rsidR="009C4B90" w:rsidRPr="009C4B90" w14:paraId="70882B54" w14:textId="77777777" w:rsidTr="68D87FCD">
        <w:trPr>
          <w:trHeight w:val="300"/>
        </w:trPr>
        <w:tc>
          <w:tcPr>
            <w:tcW w:w="9360" w:type="dxa"/>
            <w:gridSpan w:val="2"/>
            <w:tcBorders>
              <w:top w:val="single" w:sz="4" w:space="0" w:color="auto"/>
              <w:left w:val="single" w:sz="4" w:space="0" w:color="auto"/>
              <w:bottom w:val="single" w:sz="4" w:space="0" w:color="auto"/>
              <w:right w:val="single" w:sz="4" w:space="0" w:color="auto"/>
            </w:tcBorders>
            <w:shd w:val="clear" w:color="auto" w:fill="B8CCE4"/>
            <w:noWrap/>
            <w:vAlign w:val="center"/>
          </w:tcPr>
          <w:p w14:paraId="11186931" w14:textId="7725D0FC" w:rsidR="009C4B90" w:rsidRPr="009C4B90" w:rsidRDefault="009C4B90" w:rsidP="009C4B90">
            <w:pPr>
              <w:spacing w:after="0" w:line="240" w:lineRule="auto"/>
              <w:rPr>
                <w:rFonts w:ascii="Calibri" w:eastAsia="PMingLiU" w:hAnsi="Calibri" w:cs="Calibri"/>
                <w:b/>
                <w:bCs/>
                <w:color w:val="00252A"/>
                <w:kern w:val="0"/>
                <w:lang w:val="de-DE" w:eastAsia="en-GB"/>
                <w14:ligatures w14:val="none"/>
              </w:rPr>
            </w:pPr>
            <w:r w:rsidRPr="009C4B90">
              <w:rPr>
                <w:rFonts w:ascii="Calibri" w:eastAsia="PMingLiU" w:hAnsi="Calibri" w:cs="Calibri"/>
                <w:b/>
                <w:bCs/>
                <w:color w:val="00252A"/>
                <w:kern w:val="0"/>
                <w:lang w:val="de-DE" w:eastAsia="en-GB"/>
                <w14:ligatures w14:val="none"/>
              </w:rPr>
              <w:t xml:space="preserve">BESS </w:t>
            </w:r>
            <w:r w:rsidR="25B9A21C" w:rsidRPr="009C4B90">
              <w:rPr>
                <w:rFonts w:ascii="Calibri" w:eastAsia="PMingLiU" w:hAnsi="Calibri" w:cs="Calibri"/>
                <w:b/>
                <w:bCs/>
                <w:color w:val="00252A"/>
                <w:kern w:val="0"/>
                <w:lang w:val="de-DE" w:eastAsia="en-GB"/>
                <w14:ligatures w14:val="none"/>
              </w:rPr>
              <w:t>Converters</w:t>
            </w:r>
          </w:p>
        </w:tc>
      </w:tr>
      <w:tr w:rsidR="009C4B90" w:rsidRPr="009C4B90" w14:paraId="3365F79B" w14:textId="77777777" w:rsidTr="68D87FCD">
        <w:trPr>
          <w:trHeight w:val="417"/>
        </w:trPr>
        <w:tc>
          <w:tcPr>
            <w:tcW w:w="2160" w:type="dxa"/>
            <w:tcBorders>
              <w:top w:val="single" w:sz="4" w:space="0" w:color="auto"/>
              <w:left w:val="single" w:sz="4" w:space="0" w:color="auto"/>
              <w:bottom w:val="single" w:sz="4" w:space="0" w:color="auto"/>
              <w:right w:val="single" w:sz="4" w:space="0" w:color="auto"/>
            </w:tcBorders>
            <w:noWrap/>
            <w:vAlign w:val="center"/>
          </w:tcPr>
          <w:p w14:paraId="32F32E00" w14:textId="77777777" w:rsidR="009C4B90" w:rsidRPr="009C4B90" w:rsidRDefault="009C4B90" w:rsidP="009C4B90">
            <w:pPr>
              <w:spacing w:after="0" w:line="240" w:lineRule="auto"/>
              <w:rPr>
                <w:rFonts w:ascii="Calibri" w:eastAsia="PMingLiU" w:hAnsi="Calibri" w:cs="Calibri"/>
                <w:color w:val="00252A"/>
                <w:kern w:val="0"/>
                <w:lang w:val="de-DE" w:eastAsia="en-GB"/>
                <w14:ligatures w14:val="none"/>
              </w:rPr>
            </w:pPr>
            <w:r w:rsidRPr="009C4B90">
              <w:rPr>
                <w:rFonts w:ascii="Calibri" w:eastAsia="PMingLiU" w:hAnsi="Calibri" w:cs="Arial"/>
                <w:color w:val="00252A"/>
                <w:kern w:val="0"/>
                <w:szCs w:val="24"/>
                <w:lang w:val="de-DE" w:eastAsia="en-GB"/>
                <w14:ligatures w14:val="none"/>
              </w:rPr>
              <w:t>IEC 62477-1:2022 IEC 62477-2:2018</w:t>
            </w:r>
          </w:p>
        </w:tc>
        <w:tc>
          <w:tcPr>
            <w:tcW w:w="7200" w:type="dxa"/>
            <w:tcBorders>
              <w:top w:val="single" w:sz="4" w:space="0" w:color="auto"/>
              <w:left w:val="single" w:sz="4" w:space="0" w:color="auto"/>
              <w:bottom w:val="single" w:sz="4" w:space="0" w:color="auto"/>
              <w:right w:val="single" w:sz="4" w:space="0" w:color="auto"/>
            </w:tcBorders>
            <w:vAlign w:val="center"/>
          </w:tcPr>
          <w:p w14:paraId="363892D6" w14:textId="77777777" w:rsidR="009C4B90" w:rsidRPr="009C4B90" w:rsidRDefault="009C4B90" w:rsidP="009C4B90">
            <w:pPr>
              <w:spacing w:after="0" w:line="276" w:lineRule="auto"/>
              <w:rPr>
                <w:rFonts w:ascii="Calibri" w:eastAsia="PMingLiU" w:hAnsi="Calibri" w:cs="Calibri"/>
                <w:color w:val="00252A"/>
                <w:kern w:val="0"/>
                <w:lang w:eastAsia="en-GB"/>
                <w14:ligatures w14:val="none"/>
              </w:rPr>
            </w:pPr>
            <w:r w:rsidRPr="009C4B90">
              <w:rPr>
                <w:rFonts w:ascii="Calibri" w:eastAsia="PMingLiU" w:hAnsi="Calibri" w:cs="Arial"/>
                <w:color w:val="00252A"/>
                <w:kern w:val="0"/>
                <w:szCs w:val="24"/>
                <w:lang w:eastAsia="en-GB"/>
                <w14:ligatures w14:val="none"/>
              </w:rPr>
              <w:t>Safety requirements for power electronic converter systems and equipment</w:t>
            </w:r>
          </w:p>
        </w:tc>
      </w:tr>
      <w:tr w:rsidR="009C4B90" w:rsidRPr="009C4B90" w14:paraId="4477774E" w14:textId="77777777" w:rsidTr="68D87FCD">
        <w:trPr>
          <w:trHeight w:val="372"/>
        </w:trPr>
        <w:tc>
          <w:tcPr>
            <w:tcW w:w="2160" w:type="dxa"/>
            <w:tcBorders>
              <w:top w:val="single" w:sz="4" w:space="0" w:color="auto"/>
              <w:left w:val="single" w:sz="4" w:space="0" w:color="auto"/>
              <w:bottom w:val="single" w:sz="4" w:space="0" w:color="auto"/>
              <w:right w:val="single" w:sz="4" w:space="0" w:color="auto"/>
            </w:tcBorders>
            <w:noWrap/>
            <w:vAlign w:val="center"/>
          </w:tcPr>
          <w:p w14:paraId="69D8C34F" w14:textId="77777777" w:rsidR="009C4B90" w:rsidRPr="009C4B90" w:rsidRDefault="009C4B90" w:rsidP="009C4B90">
            <w:pPr>
              <w:spacing w:after="0" w:line="240" w:lineRule="auto"/>
              <w:rPr>
                <w:rFonts w:ascii="Calibri" w:eastAsia="PMingLiU" w:hAnsi="Calibri" w:cs="Calibri"/>
                <w:color w:val="00252A"/>
                <w:kern w:val="0"/>
                <w:lang w:val="de-DE" w:eastAsia="en-GB"/>
                <w14:ligatures w14:val="none"/>
              </w:rPr>
            </w:pPr>
            <w:r w:rsidRPr="009C4B90">
              <w:rPr>
                <w:rFonts w:ascii="Calibri" w:eastAsia="PMingLiU" w:hAnsi="Calibri" w:cs="Calibri"/>
                <w:color w:val="00252A"/>
                <w:kern w:val="0"/>
                <w:lang w:val="de-DE" w:eastAsia="en-GB"/>
                <w14:ligatures w14:val="none"/>
              </w:rPr>
              <w:t>IEC 61000-6-2:2016</w:t>
            </w:r>
          </w:p>
          <w:p w14:paraId="3BC98AE9" w14:textId="77777777" w:rsidR="009C4B90" w:rsidRPr="009C4B90" w:rsidRDefault="009C4B90" w:rsidP="009C4B90">
            <w:pPr>
              <w:spacing w:after="0" w:line="240" w:lineRule="auto"/>
              <w:rPr>
                <w:rFonts w:ascii="Calibri" w:eastAsia="PMingLiU" w:hAnsi="Calibri" w:cs="Calibri"/>
                <w:color w:val="00252A"/>
                <w:kern w:val="0"/>
                <w:lang w:val="de-DE" w:eastAsia="en-GB"/>
                <w14:ligatures w14:val="none"/>
              </w:rPr>
            </w:pPr>
            <w:r w:rsidRPr="009C4B90">
              <w:rPr>
                <w:rFonts w:ascii="Calibri" w:eastAsia="PMingLiU" w:hAnsi="Calibri" w:cs="Calibri"/>
                <w:color w:val="00252A"/>
                <w:kern w:val="0"/>
                <w:lang w:val="de-DE" w:eastAsia="en-GB"/>
                <w14:ligatures w14:val="none"/>
              </w:rPr>
              <w:t>IEC 61000-6-4:2018</w:t>
            </w:r>
          </w:p>
        </w:tc>
        <w:tc>
          <w:tcPr>
            <w:tcW w:w="7200" w:type="dxa"/>
            <w:tcBorders>
              <w:top w:val="single" w:sz="4" w:space="0" w:color="auto"/>
              <w:left w:val="single" w:sz="4" w:space="0" w:color="auto"/>
              <w:bottom w:val="single" w:sz="4" w:space="0" w:color="auto"/>
              <w:right w:val="single" w:sz="4" w:space="0" w:color="auto"/>
            </w:tcBorders>
            <w:vAlign w:val="center"/>
          </w:tcPr>
          <w:p w14:paraId="3DE2E4FC" w14:textId="77777777" w:rsidR="009C4B90" w:rsidRPr="009C4B90" w:rsidRDefault="009C4B90" w:rsidP="009C4B90">
            <w:pPr>
              <w:spacing w:after="0" w:line="276" w:lineRule="auto"/>
              <w:rPr>
                <w:rFonts w:ascii="Calibri" w:eastAsia="PMingLiU" w:hAnsi="Calibri" w:cs="Calibri"/>
                <w:color w:val="00252A"/>
                <w:kern w:val="0"/>
                <w:lang w:eastAsia="en-GB"/>
                <w14:ligatures w14:val="none"/>
              </w:rPr>
            </w:pPr>
            <w:r w:rsidRPr="009C4B90">
              <w:rPr>
                <w:rFonts w:ascii="Calibri" w:eastAsia="PMingLiU" w:hAnsi="Calibri" w:cs="Calibri"/>
                <w:color w:val="00252A"/>
                <w:kern w:val="0"/>
                <w:lang w:eastAsia="en-GB"/>
                <w14:ligatures w14:val="none"/>
              </w:rPr>
              <w:t>Electromagnetic Compatibility Regulations relating to electromagnetic compatibility</w:t>
            </w:r>
          </w:p>
        </w:tc>
      </w:tr>
      <w:tr w:rsidR="009C4B90" w:rsidRPr="009C4B90" w14:paraId="1A3D8A8E" w14:textId="77777777" w:rsidTr="68D87FCD">
        <w:trPr>
          <w:trHeight w:val="372"/>
        </w:trPr>
        <w:tc>
          <w:tcPr>
            <w:tcW w:w="2160" w:type="dxa"/>
            <w:tcBorders>
              <w:top w:val="single" w:sz="4" w:space="0" w:color="auto"/>
              <w:left w:val="single" w:sz="4" w:space="0" w:color="auto"/>
              <w:bottom w:val="single" w:sz="4" w:space="0" w:color="auto"/>
              <w:right w:val="single" w:sz="4" w:space="0" w:color="auto"/>
            </w:tcBorders>
            <w:noWrap/>
            <w:vAlign w:val="center"/>
          </w:tcPr>
          <w:p w14:paraId="3628CA6C" w14:textId="77777777" w:rsidR="009C4B90" w:rsidRPr="009C4B90" w:rsidRDefault="009C4B90" w:rsidP="009C4B90">
            <w:pPr>
              <w:spacing w:after="0" w:line="240" w:lineRule="auto"/>
              <w:rPr>
                <w:rFonts w:ascii="Calibri" w:eastAsia="PMingLiU" w:hAnsi="Calibri" w:cs="Calibri"/>
                <w:color w:val="00252A"/>
                <w:kern w:val="0"/>
                <w:highlight w:val="yellow"/>
                <w:lang w:val="de-DE" w:eastAsia="en-GB"/>
                <w14:ligatures w14:val="none"/>
              </w:rPr>
            </w:pPr>
            <w:r w:rsidRPr="009C4B90">
              <w:rPr>
                <w:rFonts w:ascii="Calibri" w:eastAsia="PMingLiU" w:hAnsi="Calibri" w:cs="Calibri"/>
                <w:color w:val="00252A"/>
                <w:kern w:val="0"/>
                <w:lang w:val="de-DE" w:eastAsia="en-GB"/>
                <w14:ligatures w14:val="none"/>
              </w:rPr>
              <w:t>IEC 62433-4-2:2019</w:t>
            </w:r>
          </w:p>
        </w:tc>
        <w:tc>
          <w:tcPr>
            <w:tcW w:w="7200" w:type="dxa"/>
            <w:tcBorders>
              <w:top w:val="single" w:sz="4" w:space="0" w:color="auto"/>
              <w:left w:val="single" w:sz="4" w:space="0" w:color="auto"/>
              <w:bottom w:val="single" w:sz="4" w:space="0" w:color="auto"/>
              <w:right w:val="single" w:sz="4" w:space="0" w:color="auto"/>
            </w:tcBorders>
            <w:vAlign w:val="center"/>
          </w:tcPr>
          <w:p w14:paraId="55EA57F7" w14:textId="4AE230DB" w:rsidR="009C4B90" w:rsidRPr="009C4B90" w:rsidRDefault="009C4B90" w:rsidP="009C4B90">
            <w:pPr>
              <w:spacing w:after="0" w:line="276" w:lineRule="auto"/>
              <w:rPr>
                <w:rFonts w:ascii="Calibri" w:eastAsia="PMingLiU" w:hAnsi="Calibri" w:cs="Calibri"/>
                <w:color w:val="00252A"/>
                <w:kern w:val="0"/>
                <w:lang w:eastAsia="en-GB"/>
                <w14:ligatures w14:val="none"/>
              </w:rPr>
            </w:pPr>
            <w:r w:rsidRPr="009C4B90">
              <w:rPr>
                <w:rFonts w:ascii="Calibri" w:eastAsia="PMingLiU" w:hAnsi="Calibri" w:cs="Calibri"/>
                <w:color w:val="00252A"/>
                <w:kern w:val="0"/>
                <w:lang w:eastAsia="en-GB"/>
                <w14:ligatures w14:val="none"/>
              </w:rPr>
              <w:t xml:space="preserve">Models of integrated circuits for RF immunity </w:t>
            </w:r>
            <w:r w:rsidR="00A83638" w:rsidRPr="009C4B90">
              <w:rPr>
                <w:rFonts w:ascii="Calibri" w:eastAsia="PMingLiU" w:hAnsi="Calibri" w:cs="Calibri"/>
                <w:color w:val="00252A"/>
                <w:kern w:val="0"/>
                <w:lang w:eastAsia="en-GB"/>
                <w14:ligatures w14:val="none"/>
              </w:rPr>
              <w:t>behavioral</w:t>
            </w:r>
            <w:r w:rsidRPr="009C4B90">
              <w:rPr>
                <w:rFonts w:ascii="Calibri" w:eastAsia="PMingLiU" w:hAnsi="Calibri" w:cs="Calibri"/>
                <w:color w:val="00252A"/>
                <w:kern w:val="0"/>
                <w:lang w:eastAsia="en-GB"/>
                <w14:ligatures w14:val="none"/>
              </w:rPr>
              <w:t xml:space="preserve"> simulation - Conducted immunity modelling (ICIM-CI)</w:t>
            </w:r>
          </w:p>
        </w:tc>
      </w:tr>
      <w:tr w:rsidR="7449792B" w14:paraId="675A7111" w14:textId="77777777" w:rsidTr="68D87FCD">
        <w:trPr>
          <w:trHeight w:val="372"/>
        </w:trPr>
        <w:tc>
          <w:tcPr>
            <w:tcW w:w="2160" w:type="dxa"/>
            <w:tcBorders>
              <w:top w:val="single" w:sz="4" w:space="0" w:color="auto"/>
              <w:left w:val="single" w:sz="4" w:space="0" w:color="auto"/>
              <w:bottom w:val="single" w:sz="4" w:space="0" w:color="auto"/>
              <w:right w:val="single" w:sz="4" w:space="0" w:color="auto"/>
            </w:tcBorders>
            <w:noWrap/>
            <w:vAlign w:val="center"/>
          </w:tcPr>
          <w:p w14:paraId="6F8B54B8" w14:textId="0B7F5FC6" w:rsidR="50E9B8A3" w:rsidRDefault="50E9B8A3" w:rsidP="7449792B">
            <w:pPr>
              <w:spacing w:line="240" w:lineRule="auto"/>
            </w:pPr>
            <w:r w:rsidRPr="7449792B">
              <w:rPr>
                <w:rFonts w:ascii="Calibri" w:eastAsia="Calibri" w:hAnsi="Calibri" w:cs="Calibri"/>
                <w:lang w:val="de-DE"/>
              </w:rPr>
              <w:t>IEC 61683</w:t>
            </w:r>
          </w:p>
        </w:tc>
        <w:tc>
          <w:tcPr>
            <w:tcW w:w="7200" w:type="dxa"/>
            <w:tcBorders>
              <w:top w:val="single" w:sz="4" w:space="0" w:color="auto"/>
              <w:left w:val="single" w:sz="4" w:space="0" w:color="auto"/>
              <w:bottom w:val="single" w:sz="4" w:space="0" w:color="auto"/>
              <w:right w:val="single" w:sz="4" w:space="0" w:color="auto"/>
            </w:tcBorders>
            <w:vAlign w:val="center"/>
          </w:tcPr>
          <w:p w14:paraId="3EEA224C" w14:textId="4B722E4A" w:rsidR="50E9B8A3" w:rsidRDefault="50E9B8A3" w:rsidP="7449792B">
            <w:pPr>
              <w:spacing w:line="276" w:lineRule="auto"/>
              <w:rPr>
                <w:rFonts w:ascii="Calibri" w:eastAsia="PMingLiU" w:hAnsi="Calibri" w:cs="Calibri"/>
                <w:color w:val="00252A"/>
                <w:lang w:eastAsia="en-GB"/>
              </w:rPr>
            </w:pPr>
            <w:r w:rsidRPr="7449792B">
              <w:rPr>
                <w:rFonts w:ascii="Calibri" w:eastAsia="PMingLiU" w:hAnsi="Calibri" w:cs="Calibri"/>
                <w:color w:val="00252A"/>
                <w:lang w:eastAsia="en-GB"/>
              </w:rPr>
              <w:t>Photovoltaic Systems – Power Conditioners – Procedure for Measuring Efficiency</w:t>
            </w:r>
          </w:p>
        </w:tc>
      </w:tr>
      <w:tr w:rsidR="009C4B90" w:rsidRPr="004F0F45" w14:paraId="108B0BE0" w14:textId="77777777" w:rsidTr="68D87FCD">
        <w:trPr>
          <w:trHeight w:val="585"/>
        </w:trPr>
        <w:tc>
          <w:tcPr>
            <w:tcW w:w="2160" w:type="dxa"/>
            <w:tcBorders>
              <w:top w:val="single" w:sz="4" w:space="0" w:color="auto"/>
              <w:left w:val="single" w:sz="4" w:space="0" w:color="auto"/>
              <w:bottom w:val="single" w:sz="4" w:space="0" w:color="auto"/>
              <w:right w:val="single" w:sz="4" w:space="0" w:color="auto"/>
            </w:tcBorders>
            <w:noWrap/>
            <w:vAlign w:val="center"/>
          </w:tcPr>
          <w:p w14:paraId="0A106475" w14:textId="6C5BA606" w:rsidR="009C4B90" w:rsidRPr="009C4B90" w:rsidRDefault="009C4B90" w:rsidP="009C4B90">
            <w:pPr>
              <w:spacing w:after="0" w:line="240" w:lineRule="auto"/>
              <w:rPr>
                <w:rFonts w:ascii="Calibri" w:eastAsia="PMingLiU" w:hAnsi="Calibri" w:cs="Calibri"/>
                <w:color w:val="00252A"/>
                <w:kern w:val="0"/>
                <w:highlight w:val="yellow"/>
                <w:lang w:eastAsia="en-GB"/>
                <w14:ligatures w14:val="none"/>
              </w:rPr>
            </w:pPr>
          </w:p>
        </w:tc>
        <w:tc>
          <w:tcPr>
            <w:tcW w:w="7200" w:type="dxa"/>
            <w:tcBorders>
              <w:top w:val="single" w:sz="4" w:space="0" w:color="auto"/>
              <w:left w:val="single" w:sz="4" w:space="0" w:color="auto"/>
              <w:bottom w:val="single" w:sz="4" w:space="0" w:color="auto"/>
              <w:right w:val="single" w:sz="4" w:space="0" w:color="auto"/>
            </w:tcBorders>
            <w:vAlign w:val="center"/>
          </w:tcPr>
          <w:p w14:paraId="31EA9CB8" w14:textId="267C0529" w:rsidR="009C4B90" w:rsidRPr="00A111BF" w:rsidRDefault="009C4B90" w:rsidP="009C4B90">
            <w:pPr>
              <w:spacing w:after="0" w:line="276" w:lineRule="auto"/>
              <w:rPr>
                <w:rFonts w:ascii="Calibri" w:eastAsia="PMingLiU" w:hAnsi="Calibri" w:cs="Calibri"/>
                <w:color w:val="00252A"/>
                <w:kern w:val="0"/>
                <w:highlight w:val="yellow"/>
                <w:lang w:val="pt-BR" w:eastAsia="en-GB"/>
                <w14:ligatures w14:val="none"/>
              </w:rPr>
            </w:pPr>
          </w:p>
        </w:tc>
      </w:tr>
      <w:tr w:rsidR="009C4B90" w:rsidRPr="009C4B90" w14:paraId="30CC65F9" w14:textId="77777777" w:rsidTr="68D87FCD">
        <w:trPr>
          <w:trHeight w:val="585"/>
        </w:trPr>
        <w:tc>
          <w:tcPr>
            <w:tcW w:w="9360" w:type="dxa"/>
            <w:gridSpan w:val="2"/>
            <w:tcBorders>
              <w:top w:val="single" w:sz="4" w:space="0" w:color="auto"/>
              <w:left w:val="single" w:sz="4" w:space="0" w:color="auto"/>
              <w:bottom w:val="single" w:sz="4" w:space="0" w:color="auto"/>
              <w:right w:val="single" w:sz="4" w:space="0" w:color="auto"/>
            </w:tcBorders>
            <w:shd w:val="clear" w:color="auto" w:fill="C6E7E2"/>
            <w:noWrap/>
            <w:vAlign w:val="center"/>
          </w:tcPr>
          <w:p w14:paraId="4153395C" w14:textId="77777777" w:rsidR="009C4B90" w:rsidRPr="009C4B90" w:rsidRDefault="009C4B90" w:rsidP="009C4B90">
            <w:pPr>
              <w:spacing w:after="0" w:line="240" w:lineRule="auto"/>
              <w:rPr>
                <w:rFonts w:ascii="Calibri" w:eastAsia="PMingLiU" w:hAnsi="Calibri" w:cs="Calibri"/>
                <w:color w:val="00252A"/>
                <w:kern w:val="0"/>
                <w:lang w:val="de-DE" w:eastAsia="en-GB"/>
                <w14:ligatures w14:val="none"/>
              </w:rPr>
            </w:pPr>
            <w:r w:rsidRPr="009C4B90">
              <w:rPr>
                <w:rFonts w:ascii="Calibri" w:eastAsia="PMingLiU" w:hAnsi="Calibri" w:cs="Calibri"/>
                <w:b/>
                <w:bCs/>
                <w:color w:val="00252A"/>
                <w:kern w:val="0"/>
                <w:lang w:val="de-DE" w:eastAsia="en-GB"/>
                <w14:ligatures w14:val="none"/>
              </w:rPr>
              <w:t>BATTERY ENERGY STORAGE SYSTEM</w:t>
            </w:r>
          </w:p>
        </w:tc>
      </w:tr>
      <w:tr w:rsidR="009C4B90" w:rsidRPr="009C4B90" w14:paraId="2DE5A204" w14:textId="77777777" w:rsidTr="68D87FCD">
        <w:trPr>
          <w:trHeight w:val="288"/>
        </w:trPr>
        <w:tc>
          <w:tcPr>
            <w:tcW w:w="2160" w:type="dxa"/>
            <w:tcBorders>
              <w:top w:val="single" w:sz="4" w:space="0" w:color="auto"/>
              <w:left w:val="single" w:sz="4" w:space="0" w:color="auto"/>
              <w:bottom w:val="single" w:sz="4" w:space="0" w:color="auto"/>
              <w:right w:val="single" w:sz="4" w:space="0" w:color="auto"/>
            </w:tcBorders>
            <w:noWrap/>
          </w:tcPr>
          <w:p w14:paraId="2C70DC59" w14:textId="77777777" w:rsidR="009C4B90" w:rsidRPr="009C4B90" w:rsidRDefault="009C4B90" w:rsidP="009C4B90">
            <w:pPr>
              <w:spacing w:after="0" w:line="240" w:lineRule="auto"/>
              <w:rPr>
                <w:rFonts w:ascii="Calibri" w:eastAsia="PMingLiU" w:hAnsi="Calibri" w:cs="Calibri"/>
                <w:color w:val="00252A"/>
                <w:kern w:val="0"/>
                <w:lang w:val="de-DE" w:eastAsia="en-GB"/>
                <w14:ligatures w14:val="none"/>
              </w:rPr>
            </w:pPr>
          </w:p>
        </w:tc>
        <w:tc>
          <w:tcPr>
            <w:tcW w:w="7200" w:type="dxa"/>
            <w:tcBorders>
              <w:top w:val="single" w:sz="4" w:space="0" w:color="auto"/>
              <w:left w:val="single" w:sz="4" w:space="0" w:color="auto"/>
              <w:bottom w:val="single" w:sz="4" w:space="0" w:color="auto"/>
              <w:right w:val="single" w:sz="4" w:space="0" w:color="auto"/>
            </w:tcBorders>
          </w:tcPr>
          <w:p w14:paraId="00C2027A" w14:textId="77777777" w:rsidR="009C4B90" w:rsidRPr="009C4B90" w:rsidRDefault="009C4B90" w:rsidP="009C4B90">
            <w:pPr>
              <w:spacing w:after="0" w:line="276" w:lineRule="auto"/>
              <w:rPr>
                <w:rFonts w:ascii="Calibri" w:eastAsia="PMingLiU" w:hAnsi="Calibri" w:cs="Calibri"/>
                <w:color w:val="00252A"/>
                <w:kern w:val="0"/>
                <w:lang w:val="de-DE" w:eastAsia="en-GB"/>
                <w14:ligatures w14:val="none"/>
              </w:rPr>
            </w:pPr>
          </w:p>
        </w:tc>
      </w:tr>
      <w:tr w:rsidR="009C4B90" w:rsidRPr="009C4B90" w14:paraId="33DBAF3E" w14:textId="77777777" w:rsidTr="68D87FCD">
        <w:trPr>
          <w:trHeight w:val="288"/>
        </w:trPr>
        <w:tc>
          <w:tcPr>
            <w:tcW w:w="2160" w:type="dxa"/>
            <w:tcBorders>
              <w:top w:val="single" w:sz="4" w:space="0" w:color="auto"/>
              <w:left w:val="single" w:sz="4" w:space="0" w:color="auto"/>
              <w:bottom w:val="single" w:sz="4" w:space="0" w:color="auto"/>
              <w:right w:val="single" w:sz="4" w:space="0" w:color="auto"/>
            </w:tcBorders>
            <w:noWrap/>
          </w:tcPr>
          <w:p w14:paraId="5D8546EC" w14:textId="77777777" w:rsidR="009C4B90" w:rsidRPr="009C4B90" w:rsidRDefault="009C4B90" w:rsidP="009C4B90">
            <w:pPr>
              <w:spacing w:after="0" w:line="240" w:lineRule="auto"/>
              <w:rPr>
                <w:rFonts w:ascii="Calibri" w:eastAsia="PMingLiU" w:hAnsi="Calibri" w:cs="Calibri"/>
                <w:color w:val="00252A"/>
                <w:kern w:val="0"/>
                <w:lang w:val="de-DE" w:eastAsia="en-GB"/>
                <w14:ligatures w14:val="none"/>
              </w:rPr>
            </w:pPr>
            <w:r w:rsidRPr="009C4B90">
              <w:rPr>
                <w:rFonts w:ascii="Calibri" w:eastAsia="PMingLiU" w:hAnsi="Calibri" w:cs="Arial"/>
                <w:color w:val="00252A"/>
                <w:kern w:val="0"/>
                <w:szCs w:val="24"/>
                <w:lang w:val="de-DE" w:eastAsia="zh-TW"/>
                <w14:ligatures w14:val="none"/>
              </w:rPr>
              <w:t>IEC 62933-5-2</w:t>
            </w:r>
          </w:p>
        </w:tc>
        <w:tc>
          <w:tcPr>
            <w:tcW w:w="7200" w:type="dxa"/>
            <w:tcBorders>
              <w:top w:val="single" w:sz="4" w:space="0" w:color="auto"/>
              <w:left w:val="single" w:sz="4" w:space="0" w:color="auto"/>
              <w:bottom w:val="single" w:sz="4" w:space="0" w:color="auto"/>
              <w:right w:val="single" w:sz="4" w:space="0" w:color="auto"/>
            </w:tcBorders>
          </w:tcPr>
          <w:p w14:paraId="5CFEBE69" w14:textId="77777777" w:rsidR="009C4B90" w:rsidRPr="009C4B90" w:rsidRDefault="009C4B90" w:rsidP="009C4B90">
            <w:pPr>
              <w:spacing w:after="0" w:line="276" w:lineRule="auto"/>
              <w:rPr>
                <w:rFonts w:ascii="Calibri" w:eastAsia="PMingLiU" w:hAnsi="Calibri" w:cs="Calibri"/>
                <w:color w:val="00252A"/>
                <w:kern w:val="0"/>
                <w:lang w:eastAsia="en-GB"/>
                <w14:ligatures w14:val="none"/>
              </w:rPr>
            </w:pPr>
            <w:r w:rsidRPr="009C4B90">
              <w:rPr>
                <w:rFonts w:ascii="Calibri" w:eastAsia="PMingLiU" w:hAnsi="Calibri" w:cs="Arial"/>
                <w:color w:val="00252A"/>
                <w:kern w:val="0"/>
                <w:szCs w:val="24"/>
                <w:lang w:eastAsia="en-GB"/>
                <w14:ligatures w14:val="none"/>
              </w:rPr>
              <w:t xml:space="preserve"> Electrical energy storage (EES) systems - Part 5-2: Safety requirements for grid-integrated EES systems - Electrochemical-based systems</w:t>
            </w:r>
          </w:p>
        </w:tc>
      </w:tr>
      <w:tr w:rsidR="009C4B90" w:rsidRPr="009C4B90" w14:paraId="1BA4ABA3" w14:textId="77777777" w:rsidTr="68D87FCD">
        <w:trPr>
          <w:trHeight w:val="288"/>
        </w:trPr>
        <w:tc>
          <w:tcPr>
            <w:tcW w:w="2160" w:type="dxa"/>
            <w:tcBorders>
              <w:top w:val="single" w:sz="4" w:space="0" w:color="auto"/>
              <w:left w:val="single" w:sz="4" w:space="0" w:color="auto"/>
              <w:bottom w:val="single" w:sz="4" w:space="0" w:color="auto"/>
              <w:right w:val="single" w:sz="4" w:space="0" w:color="auto"/>
            </w:tcBorders>
            <w:noWrap/>
          </w:tcPr>
          <w:p w14:paraId="0DDEA2FC" w14:textId="77777777" w:rsidR="009C4B90" w:rsidRPr="009C4B90" w:rsidRDefault="009C4B90" w:rsidP="009C4B90">
            <w:pPr>
              <w:spacing w:after="0" w:line="240" w:lineRule="auto"/>
              <w:rPr>
                <w:rFonts w:ascii="Calibri" w:eastAsia="PMingLiU" w:hAnsi="Calibri" w:cs="Calibri"/>
                <w:color w:val="00252A"/>
                <w:kern w:val="0"/>
                <w:lang w:val="de-DE" w:eastAsia="en-GB"/>
                <w14:ligatures w14:val="none"/>
              </w:rPr>
            </w:pPr>
            <w:r w:rsidRPr="009C4B90">
              <w:rPr>
                <w:rFonts w:ascii="Calibri" w:eastAsia="PMingLiU" w:hAnsi="Calibri" w:cs="Calibri"/>
                <w:color w:val="00252A"/>
                <w:kern w:val="0"/>
                <w:lang w:val="de-DE" w:eastAsia="zh-TW"/>
                <w14:ligatures w14:val="none"/>
              </w:rPr>
              <w:t>IEC 62619</w:t>
            </w:r>
          </w:p>
        </w:tc>
        <w:tc>
          <w:tcPr>
            <w:tcW w:w="7200" w:type="dxa"/>
            <w:tcBorders>
              <w:top w:val="single" w:sz="4" w:space="0" w:color="auto"/>
              <w:left w:val="single" w:sz="4" w:space="0" w:color="auto"/>
              <w:bottom w:val="single" w:sz="4" w:space="0" w:color="auto"/>
              <w:right w:val="single" w:sz="4" w:space="0" w:color="auto"/>
            </w:tcBorders>
          </w:tcPr>
          <w:p w14:paraId="311F5FA3" w14:textId="77777777" w:rsidR="009C4B90" w:rsidRPr="009C4B90" w:rsidRDefault="009C4B90" w:rsidP="009C4B90">
            <w:pPr>
              <w:spacing w:after="0" w:line="276" w:lineRule="auto"/>
              <w:rPr>
                <w:rFonts w:ascii="Calibri" w:eastAsia="PMingLiU" w:hAnsi="Calibri" w:cs="Calibri"/>
                <w:color w:val="00252A"/>
                <w:kern w:val="0"/>
                <w:lang w:eastAsia="en-GB"/>
                <w14:ligatures w14:val="none"/>
              </w:rPr>
            </w:pPr>
            <w:r w:rsidRPr="009C4B90">
              <w:rPr>
                <w:rFonts w:ascii="Calibri" w:eastAsia="PMingLiU" w:hAnsi="Calibri" w:cs="Calibri"/>
                <w:color w:val="00252A"/>
                <w:kern w:val="0"/>
                <w:lang w:eastAsia="en-GB"/>
                <w14:ligatures w14:val="none"/>
              </w:rPr>
              <w:t>Safety requirements for large-scale industrial applications (for lithium batteries)</w:t>
            </w:r>
          </w:p>
        </w:tc>
      </w:tr>
      <w:tr w:rsidR="009C4B90" w:rsidRPr="009C4B90" w14:paraId="14C2EB8E" w14:textId="77777777" w:rsidTr="68D87FCD">
        <w:trPr>
          <w:trHeight w:val="288"/>
        </w:trPr>
        <w:tc>
          <w:tcPr>
            <w:tcW w:w="2160" w:type="dxa"/>
            <w:tcBorders>
              <w:top w:val="single" w:sz="4" w:space="0" w:color="auto"/>
              <w:left w:val="single" w:sz="4" w:space="0" w:color="auto"/>
              <w:bottom w:val="single" w:sz="4" w:space="0" w:color="auto"/>
              <w:right w:val="single" w:sz="4" w:space="0" w:color="auto"/>
            </w:tcBorders>
            <w:noWrap/>
          </w:tcPr>
          <w:p w14:paraId="17594144" w14:textId="77777777" w:rsidR="009C4B90" w:rsidRPr="009C4B90" w:rsidRDefault="009C4B90" w:rsidP="009C4B90">
            <w:pPr>
              <w:spacing w:after="0" w:line="240" w:lineRule="auto"/>
              <w:rPr>
                <w:rFonts w:ascii="Calibri" w:eastAsia="PMingLiU" w:hAnsi="Calibri" w:cs="Calibri"/>
                <w:color w:val="00252A"/>
                <w:kern w:val="0"/>
                <w:lang w:val="de-DE" w:eastAsia="en-GB"/>
                <w14:ligatures w14:val="none"/>
              </w:rPr>
            </w:pPr>
            <w:r w:rsidRPr="009C4B90">
              <w:rPr>
                <w:rFonts w:ascii="Calibri" w:eastAsia="PMingLiU" w:hAnsi="Calibri" w:cs="Calibri"/>
                <w:color w:val="00252A"/>
                <w:kern w:val="0"/>
                <w:lang w:val="de-DE" w:eastAsia="zh-TW"/>
                <w14:ligatures w14:val="none"/>
              </w:rPr>
              <w:t xml:space="preserve">UL 9540 Sub assembly </w:t>
            </w:r>
          </w:p>
        </w:tc>
        <w:tc>
          <w:tcPr>
            <w:tcW w:w="7200" w:type="dxa"/>
            <w:tcBorders>
              <w:top w:val="single" w:sz="4" w:space="0" w:color="auto"/>
              <w:left w:val="single" w:sz="4" w:space="0" w:color="auto"/>
              <w:bottom w:val="single" w:sz="4" w:space="0" w:color="auto"/>
              <w:right w:val="single" w:sz="4" w:space="0" w:color="auto"/>
            </w:tcBorders>
          </w:tcPr>
          <w:p w14:paraId="56299841" w14:textId="77777777" w:rsidR="009C4B90" w:rsidRPr="009C4B90" w:rsidRDefault="009C4B90" w:rsidP="009C4B90">
            <w:pPr>
              <w:spacing w:after="0" w:line="276" w:lineRule="auto"/>
              <w:rPr>
                <w:rFonts w:ascii="Calibri" w:eastAsia="PMingLiU" w:hAnsi="Calibri" w:cs="Calibri"/>
                <w:color w:val="00252A"/>
                <w:kern w:val="0"/>
                <w:lang w:eastAsia="en-GB"/>
                <w14:ligatures w14:val="none"/>
              </w:rPr>
            </w:pPr>
            <w:r w:rsidRPr="009C4B90">
              <w:rPr>
                <w:rFonts w:ascii="Calibri" w:eastAsia="PMingLiU" w:hAnsi="Calibri" w:cs="Calibri"/>
                <w:color w:val="00252A"/>
                <w:kern w:val="0"/>
                <w:lang w:eastAsia="en-GB"/>
                <w14:ligatures w14:val="none"/>
              </w:rPr>
              <w:t>For battery safety testing or field evaluation to ensure compliance with IEC 62485-2, 61508, 60812 (where applicable).</w:t>
            </w:r>
          </w:p>
        </w:tc>
      </w:tr>
      <w:tr w:rsidR="009C4B90" w:rsidRPr="009C4B90" w14:paraId="317364E8" w14:textId="77777777" w:rsidTr="68D87FCD">
        <w:trPr>
          <w:trHeight w:val="288"/>
        </w:trPr>
        <w:tc>
          <w:tcPr>
            <w:tcW w:w="2160" w:type="dxa"/>
            <w:tcBorders>
              <w:top w:val="single" w:sz="4" w:space="0" w:color="auto"/>
              <w:left w:val="single" w:sz="4" w:space="0" w:color="auto"/>
              <w:bottom w:val="single" w:sz="4" w:space="0" w:color="auto"/>
              <w:right w:val="single" w:sz="4" w:space="0" w:color="auto"/>
            </w:tcBorders>
            <w:noWrap/>
          </w:tcPr>
          <w:p w14:paraId="14D35651" w14:textId="77777777" w:rsidR="009C4B90" w:rsidRPr="009C4B90" w:rsidRDefault="009C4B90" w:rsidP="009C4B90">
            <w:pPr>
              <w:spacing w:after="0" w:line="240" w:lineRule="auto"/>
              <w:rPr>
                <w:rFonts w:ascii="Calibri" w:eastAsia="PMingLiU" w:hAnsi="Calibri" w:cs="Calibri"/>
                <w:color w:val="00252A"/>
                <w:kern w:val="0"/>
                <w:lang w:val="de-DE" w:eastAsia="zh-TW"/>
                <w14:ligatures w14:val="none"/>
              </w:rPr>
            </w:pPr>
            <w:r w:rsidRPr="009C4B90">
              <w:rPr>
                <w:rFonts w:ascii="Calibri" w:eastAsia="PMingLiU" w:hAnsi="Calibri" w:cs="Calibri"/>
                <w:color w:val="00252A"/>
                <w:kern w:val="0"/>
                <w:lang w:val="de-DE" w:eastAsia="en-GB"/>
                <w14:ligatures w14:val="none"/>
              </w:rPr>
              <w:t>UL 1973:20108</w:t>
            </w:r>
          </w:p>
        </w:tc>
        <w:tc>
          <w:tcPr>
            <w:tcW w:w="7200" w:type="dxa"/>
            <w:tcBorders>
              <w:top w:val="single" w:sz="4" w:space="0" w:color="auto"/>
              <w:left w:val="single" w:sz="4" w:space="0" w:color="auto"/>
              <w:bottom w:val="single" w:sz="4" w:space="0" w:color="auto"/>
              <w:right w:val="single" w:sz="4" w:space="0" w:color="auto"/>
            </w:tcBorders>
          </w:tcPr>
          <w:p w14:paraId="0AA32FF4" w14:textId="77777777" w:rsidR="009C4B90" w:rsidRPr="009C4B90" w:rsidRDefault="009C4B90" w:rsidP="009C4B90">
            <w:pPr>
              <w:spacing w:after="0" w:line="276" w:lineRule="auto"/>
              <w:rPr>
                <w:rFonts w:ascii="Calibri" w:eastAsia="PMingLiU" w:hAnsi="Calibri" w:cs="Calibri"/>
                <w:color w:val="00252A"/>
                <w:kern w:val="0"/>
                <w:lang w:eastAsia="en-GB"/>
                <w14:ligatures w14:val="none"/>
              </w:rPr>
            </w:pPr>
            <w:r w:rsidRPr="009C4B90">
              <w:rPr>
                <w:rFonts w:ascii="Calibri" w:eastAsia="PMingLiU" w:hAnsi="Calibri" w:cs="Calibri" w:hint="eastAsia"/>
                <w:color w:val="00252A"/>
                <w:kern w:val="0"/>
                <w:lang w:val="en-GB" w:eastAsia="en-GB"/>
                <w14:ligatures w14:val="none"/>
              </w:rPr>
              <w:t>B</w:t>
            </w:r>
            <w:r w:rsidRPr="009C4B90">
              <w:rPr>
                <w:rFonts w:ascii="Calibri" w:eastAsia="PMingLiU" w:hAnsi="Calibri" w:cs="Calibri"/>
                <w:color w:val="00252A"/>
                <w:kern w:val="0"/>
                <w:lang w:val="en-GB" w:eastAsia="en-GB"/>
                <w14:ligatures w14:val="none"/>
              </w:rPr>
              <w:t>atteries for use in stationary, vehicle auxiliary power and light electric rail</w:t>
            </w:r>
          </w:p>
        </w:tc>
      </w:tr>
      <w:tr w:rsidR="009C4B90" w:rsidRPr="009C4B90" w14:paraId="7E11047E" w14:textId="77777777" w:rsidTr="68D87FCD">
        <w:trPr>
          <w:trHeight w:val="288"/>
        </w:trPr>
        <w:tc>
          <w:tcPr>
            <w:tcW w:w="2160" w:type="dxa"/>
            <w:tcBorders>
              <w:top w:val="single" w:sz="4" w:space="0" w:color="auto"/>
              <w:left w:val="single" w:sz="4" w:space="0" w:color="auto"/>
              <w:bottom w:val="single" w:sz="4" w:space="0" w:color="auto"/>
              <w:right w:val="single" w:sz="4" w:space="0" w:color="auto"/>
            </w:tcBorders>
            <w:noWrap/>
          </w:tcPr>
          <w:p w14:paraId="32F2D3C7" w14:textId="77777777" w:rsidR="009C4B90" w:rsidRPr="006375A0" w:rsidRDefault="009C4B90" w:rsidP="009C4B90">
            <w:pPr>
              <w:spacing w:after="0" w:line="240" w:lineRule="auto"/>
              <w:rPr>
                <w:rFonts w:ascii="Calibri" w:eastAsia="PMingLiU" w:hAnsi="Calibri" w:cs="Calibri"/>
                <w:color w:val="00252A"/>
                <w:kern w:val="0"/>
                <w:lang w:val="en-GB" w:eastAsia="zh-TW"/>
                <w14:ligatures w14:val="none"/>
              </w:rPr>
            </w:pPr>
          </w:p>
        </w:tc>
        <w:tc>
          <w:tcPr>
            <w:tcW w:w="7200" w:type="dxa"/>
            <w:tcBorders>
              <w:top w:val="single" w:sz="4" w:space="0" w:color="auto"/>
              <w:left w:val="single" w:sz="4" w:space="0" w:color="auto"/>
              <w:bottom w:val="single" w:sz="4" w:space="0" w:color="auto"/>
              <w:right w:val="single" w:sz="4" w:space="0" w:color="auto"/>
            </w:tcBorders>
          </w:tcPr>
          <w:p w14:paraId="28B33550" w14:textId="77777777" w:rsidR="009C4B90" w:rsidRPr="009C4B90" w:rsidRDefault="009C4B90" w:rsidP="009C4B90">
            <w:pPr>
              <w:spacing w:after="0" w:line="276" w:lineRule="auto"/>
              <w:rPr>
                <w:rFonts w:ascii="Calibri" w:eastAsia="PMingLiU" w:hAnsi="Calibri" w:cs="Calibri"/>
                <w:color w:val="00252A"/>
                <w:kern w:val="0"/>
                <w:lang w:eastAsia="en-GB"/>
                <w14:ligatures w14:val="none"/>
              </w:rPr>
            </w:pPr>
          </w:p>
        </w:tc>
      </w:tr>
      <w:tr w:rsidR="009C4B90" w:rsidRPr="009C4B90" w14:paraId="3701BAA4" w14:textId="77777777" w:rsidTr="68D87FCD">
        <w:trPr>
          <w:trHeight w:val="300"/>
        </w:trPr>
        <w:tc>
          <w:tcPr>
            <w:tcW w:w="9360" w:type="dxa"/>
            <w:gridSpan w:val="2"/>
            <w:tcBorders>
              <w:top w:val="single" w:sz="4" w:space="0" w:color="auto"/>
              <w:left w:val="single" w:sz="4" w:space="0" w:color="auto"/>
              <w:bottom w:val="single" w:sz="4" w:space="0" w:color="auto"/>
              <w:right w:val="single" w:sz="4" w:space="0" w:color="auto"/>
            </w:tcBorders>
            <w:shd w:val="clear" w:color="auto" w:fill="B8CCE4"/>
            <w:noWrap/>
            <w:vAlign w:val="center"/>
          </w:tcPr>
          <w:p w14:paraId="6DE64C15" w14:textId="77777777" w:rsidR="009C4B90" w:rsidRPr="009C4B90" w:rsidRDefault="009C4B90" w:rsidP="009C4B90">
            <w:pPr>
              <w:spacing w:after="0" w:line="240" w:lineRule="auto"/>
              <w:rPr>
                <w:rFonts w:ascii="Calibri" w:eastAsia="PMingLiU" w:hAnsi="Calibri" w:cs="Calibri"/>
                <w:b/>
                <w:bCs/>
                <w:color w:val="00252A"/>
                <w:kern w:val="0"/>
                <w:lang w:val="de-DE" w:eastAsia="en-GB"/>
                <w14:ligatures w14:val="none"/>
              </w:rPr>
            </w:pPr>
            <w:r w:rsidRPr="009C4B90">
              <w:rPr>
                <w:rFonts w:ascii="Calibri" w:eastAsia="PMingLiU" w:hAnsi="Calibri" w:cs="Calibri"/>
                <w:b/>
                <w:bCs/>
                <w:color w:val="00252A"/>
                <w:kern w:val="0"/>
                <w:lang w:val="de-DE" w:eastAsia="en-GB"/>
                <w14:ligatures w14:val="none"/>
              </w:rPr>
              <w:t>GENERAL ENGINEERING STANDARDS</w:t>
            </w:r>
          </w:p>
        </w:tc>
      </w:tr>
      <w:tr w:rsidR="009C4B90" w:rsidRPr="009C4B90" w14:paraId="38DBC330" w14:textId="77777777" w:rsidTr="68D87FCD">
        <w:trPr>
          <w:trHeight w:val="300"/>
        </w:trPr>
        <w:tc>
          <w:tcPr>
            <w:tcW w:w="2160" w:type="dxa"/>
            <w:tcBorders>
              <w:top w:val="single" w:sz="4" w:space="0" w:color="auto"/>
              <w:left w:val="single" w:sz="4" w:space="0" w:color="auto"/>
              <w:bottom w:val="single" w:sz="4" w:space="0" w:color="auto"/>
              <w:right w:val="single" w:sz="4" w:space="0" w:color="auto"/>
            </w:tcBorders>
            <w:vAlign w:val="center"/>
          </w:tcPr>
          <w:p w14:paraId="5861E68A" w14:textId="77777777" w:rsidR="009C4B90" w:rsidRPr="009C4B90" w:rsidRDefault="009C4B90" w:rsidP="009C4B90">
            <w:pPr>
              <w:spacing w:after="0" w:line="240" w:lineRule="auto"/>
              <w:rPr>
                <w:rFonts w:ascii="Calibri" w:eastAsia="PMingLiU" w:hAnsi="Calibri" w:cs="Calibri"/>
                <w:color w:val="00252A"/>
                <w:kern w:val="0"/>
                <w:lang w:val="de-DE" w:eastAsia="en-GB"/>
                <w14:ligatures w14:val="none"/>
              </w:rPr>
            </w:pPr>
            <w:r w:rsidRPr="009C4B90">
              <w:rPr>
                <w:rFonts w:ascii="Calibri" w:eastAsia="PMingLiU" w:hAnsi="Calibri" w:cs="Calibri"/>
                <w:color w:val="00252A"/>
                <w:kern w:val="0"/>
                <w:lang w:val="de-DE" w:eastAsia="en-GB"/>
                <w14:ligatures w14:val="none"/>
              </w:rPr>
              <w:t>IEC 60076</w:t>
            </w:r>
          </w:p>
        </w:tc>
        <w:tc>
          <w:tcPr>
            <w:tcW w:w="7200" w:type="dxa"/>
            <w:tcBorders>
              <w:top w:val="single" w:sz="4" w:space="0" w:color="auto"/>
              <w:left w:val="single" w:sz="4" w:space="0" w:color="auto"/>
              <w:bottom w:val="single" w:sz="4" w:space="0" w:color="auto"/>
              <w:right w:val="single" w:sz="4" w:space="0" w:color="auto"/>
            </w:tcBorders>
            <w:vAlign w:val="center"/>
          </w:tcPr>
          <w:p w14:paraId="3ED6287B" w14:textId="77777777" w:rsidR="009C4B90" w:rsidRPr="009C4B90" w:rsidRDefault="009C4B90" w:rsidP="009C4B90">
            <w:pPr>
              <w:spacing w:after="0" w:line="276" w:lineRule="auto"/>
              <w:rPr>
                <w:rFonts w:ascii="Calibri" w:eastAsia="PMingLiU" w:hAnsi="Calibri" w:cs="Calibri"/>
                <w:color w:val="00252A"/>
                <w:kern w:val="0"/>
                <w:lang w:val="de-DE" w:eastAsia="en-GB"/>
                <w14:ligatures w14:val="none"/>
              </w:rPr>
            </w:pPr>
            <w:r w:rsidRPr="009C4B90">
              <w:rPr>
                <w:rFonts w:ascii="Calibri" w:eastAsia="PMingLiU" w:hAnsi="Calibri" w:cs="Calibri"/>
                <w:color w:val="00252A"/>
                <w:kern w:val="0"/>
                <w:lang w:val="de-DE" w:eastAsia="en-GB"/>
                <w14:ligatures w14:val="none"/>
              </w:rPr>
              <w:t>Power Transformers - ALL PARTS</w:t>
            </w:r>
          </w:p>
        </w:tc>
      </w:tr>
      <w:tr w:rsidR="009C4B90" w:rsidRPr="009C4B90" w14:paraId="08C33A21" w14:textId="77777777" w:rsidTr="68D87FCD">
        <w:trPr>
          <w:trHeight w:val="300"/>
        </w:trPr>
        <w:tc>
          <w:tcPr>
            <w:tcW w:w="2160" w:type="dxa"/>
            <w:tcBorders>
              <w:top w:val="single" w:sz="4" w:space="0" w:color="auto"/>
              <w:left w:val="single" w:sz="4" w:space="0" w:color="auto"/>
              <w:bottom w:val="single" w:sz="4" w:space="0" w:color="auto"/>
              <w:right w:val="single" w:sz="4" w:space="0" w:color="auto"/>
            </w:tcBorders>
            <w:vAlign w:val="center"/>
          </w:tcPr>
          <w:p w14:paraId="61DBCD5F" w14:textId="77777777" w:rsidR="009C4B90" w:rsidRPr="009C4B90" w:rsidRDefault="009C4B90" w:rsidP="009C4B90">
            <w:pPr>
              <w:spacing w:after="0" w:line="240" w:lineRule="auto"/>
              <w:rPr>
                <w:rFonts w:ascii="Calibri" w:eastAsia="PMingLiU" w:hAnsi="Calibri" w:cs="Calibri"/>
                <w:color w:val="00252A"/>
                <w:kern w:val="0"/>
                <w:lang w:val="de-DE" w:eastAsia="en-GB"/>
                <w14:ligatures w14:val="none"/>
              </w:rPr>
            </w:pPr>
          </w:p>
        </w:tc>
        <w:tc>
          <w:tcPr>
            <w:tcW w:w="7200" w:type="dxa"/>
            <w:tcBorders>
              <w:top w:val="single" w:sz="4" w:space="0" w:color="auto"/>
              <w:left w:val="single" w:sz="4" w:space="0" w:color="auto"/>
              <w:bottom w:val="single" w:sz="4" w:space="0" w:color="auto"/>
              <w:right w:val="single" w:sz="4" w:space="0" w:color="auto"/>
            </w:tcBorders>
            <w:vAlign w:val="center"/>
          </w:tcPr>
          <w:p w14:paraId="4862938C" w14:textId="77777777" w:rsidR="009C4B90" w:rsidRPr="009C4B90" w:rsidRDefault="009C4B90" w:rsidP="009C4B90">
            <w:pPr>
              <w:spacing w:after="0" w:line="276" w:lineRule="auto"/>
              <w:rPr>
                <w:rFonts w:ascii="Calibri" w:eastAsia="PMingLiU" w:hAnsi="Calibri" w:cs="Calibri"/>
                <w:color w:val="00252A"/>
                <w:kern w:val="0"/>
                <w:lang w:val="de-DE" w:eastAsia="en-GB"/>
                <w14:ligatures w14:val="none"/>
              </w:rPr>
            </w:pPr>
          </w:p>
        </w:tc>
      </w:tr>
      <w:tr w:rsidR="009C4B90" w:rsidRPr="009C4B90" w14:paraId="57F7E3B6" w14:textId="77777777" w:rsidTr="68D87FCD">
        <w:trPr>
          <w:trHeight w:val="300"/>
        </w:trPr>
        <w:tc>
          <w:tcPr>
            <w:tcW w:w="9360" w:type="dxa"/>
            <w:gridSpan w:val="2"/>
            <w:tcBorders>
              <w:top w:val="single" w:sz="4" w:space="0" w:color="auto"/>
              <w:left w:val="single" w:sz="4" w:space="0" w:color="auto"/>
              <w:bottom w:val="single" w:sz="4" w:space="0" w:color="auto"/>
              <w:right w:val="single" w:sz="4" w:space="0" w:color="auto"/>
            </w:tcBorders>
            <w:shd w:val="clear" w:color="auto" w:fill="B8CCE4"/>
            <w:noWrap/>
            <w:vAlign w:val="center"/>
          </w:tcPr>
          <w:p w14:paraId="4499B66A" w14:textId="77777777" w:rsidR="009C4B90" w:rsidRPr="009C4B90" w:rsidRDefault="009C4B90" w:rsidP="009C4B90">
            <w:pPr>
              <w:spacing w:after="0" w:line="240" w:lineRule="auto"/>
              <w:rPr>
                <w:rFonts w:ascii="Calibri" w:eastAsia="PMingLiU" w:hAnsi="Calibri" w:cs="Calibri"/>
                <w:b/>
                <w:bCs/>
                <w:color w:val="00252A"/>
                <w:kern w:val="0"/>
                <w:lang w:val="de-DE" w:eastAsia="en-GB"/>
                <w14:ligatures w14:val="none"/>
              </w:rPr>
            </w:pPr>
            <w:r w:rsidRPr="009C4B90">
              <w:rPr>
                <w:rFonts w:ascii="Calibri" w:eastAsia="PMingLiU" w:hAnsi="Calibri" w:cs="Calibri"/>
                <w:b/>
                <w:bCs/>
                <w:color w:val="00252A"/>
                <w:kern w:val="0"/>
                <w:lang w:val="de-DE" w:eastAsia="en-GB"/>
                <w14:ligatures w14:val="none"/>
              </w:rPr>
              <w:t xml:space="preserve">Power Quality </w:t>
            </w:r>
          </w:p>
        </w:tc>
      </w:tr>
      <w:tr w:rsidR="009C4B90" w:rsidRPr="009C4B90" w14:paraId="703830AE" w14:textId="77777777" w:rsidTr="68D87FCD">
        <w:trPr>
          <w:trHeight w:val="390"/>
        </w:trPr>
        <w:tc>
          <w:tcPr>
            <w:tcW w:w="2160" w:type="dxa"/>
            <w:tcBorders>
              <w:top w:val="single" w:sz="4" w:space="0" w:color="auto"/>
              <w:left w:val="single" w:sz="4" w:space="0" w:color="auto"/>
              <w:bottom w:val="single" w:sz="4" w:space="0" w:color="auto"/>
              <w:right w:val="single" w:sz="4" w:space="0" w:color="auto"/>
            </w:tcBorders>
            <w:vAlign w:val="center"/>
          </w:tcPr>
          <w:p w14:paraId="5BE7A9D6" w14:textId="77777777" w:rsidR="009C4B90" w:rsidRPr="009C4B90" w:rsidRDefault="009C4B90" w:rsidP="009C4B90">
            <w:pPr>
              <w:spacing w:after="0" w:line="240" w:lineRule="auto"/>
              <w:rPr>
                <w:rFonts w:ascii="Calibri" w:eastAsia="PMingLiU" w:hAnsi="Calibri" w:cs="Calibri"/>
                <w:color w:val="00252A"/>
                <w:kern w:val="0"/>
                <w:lang w:val="de-DE" w:eastAsia="en-GB"/>
                <w14:ligatures w14:val="none"/>
              </w:rPr>
            </w:pPr>
          </w:p>
        </w:tc>
        <w:tc>
          <w:tcPr>
            <w:tcW w:w="7200" w:type="dxa"/>
            <w:tcBorders>
              <w:top w:val="single" w:sz="4" w:space="0" w:color="auto"/>
              <w:left w:val="single" w:sz="4" w:space="0" w:color="auto"/>
              <w:bottom w:val="single" w:sz="4" w:space="0" w:color="auto"/>
              <w:right w:val="single" w:sz="4" w:space="0" w:color="auto"/>
            </w:tcBorders>
            <w:vAlign w:val="center"/>
          </w:tcPr>
          <w:p w14:paraId="616B6615" w14:textId="77777777" w:rsidR="009C4B90" w:rsidRPr="009C4B90" w:rsidRDefault="009C4B90" w:rsidP="009C4B90">
            <w:pPr>
              <w:spacing w:after="0" w:line="276" w:lineRule="auto"/>
              <w:rPr>
                <w:rFonts w:ascii="Calibri" w:eastAsia="PMingLiU" w:hAnsi="Calibri" w:cs="Calibri"/>
                <w:color w:val="00252A"/>
                <w:kern w:val="0"/>
                <w:lang w:eastAsia="en-GB"/>
                <w14:ligatures w14:val="none"/>
              </w:rPr>
            </w:pPr>
          </w:p>
        </w:tc>
      </w:tr>
    </w:tbl>
    <w:p w14:paraId="5D523764" w14:textId="77777777" w:rsidR="007C2DA9" w:rsidRDefault="007C2DA9" w:rsidP="00C43D9F">
      <w:pPr>
        <w:jc w:val="both"/>
        <w:rPr>
          <w:rFonts w:ascii="Avenir Next LT Pro" w:eastAsia="Aptos" w:hAnsi="Avenir Next LT Pro" w:cs="Aptos"/>
          <w:color w:val="156082"/>
          <w:spacing w:val="-3"/>
          <w:kern w:val="0"/>
          <w:sz w:val="28"/>
          <w:szCs w:val="28"/>
          <w:lang w:eastAsia="zh-CN"/>
          <w14:ligatures w14:val="none"/>
        </w:rPr>
      </w:pPr>
    </w:p>
    <w:p w14:paraId="2567F97A" w14:textId="72B48A5C" w:rsidR="008F0637" w:rsidRDefault="008F0637" w:rsidP="005D564F">
      <w:pPr>
        <w:pStyle w:val="ListParagraph"/>
        <w:numPr>
          <w:ilvl w:val="0"/>
          <w:numId w:val="18"/>
        </w:numPr>
        <w:rPr>
          <w:rFonts w:ascii="Avenir Next LT Pro" w:eastAsia="Aptos" w:hAnsi="Avenir Next LT Pro" w:cs="Aptos"/>
          <w:b/>
          <w:bCs/>
          <w:color w:val="156082"/>
          <w:spacing w:val="-3"/>
          <w:kern w:val="0"/>
          <w:sz w:val="28"/>
          <w:szCs w:val="28"/>
          <w:lang w:eastAsia="zh-CN"/>
          <w14:ligatures w14:val="none"/>
        </w:rPr>
      </w:pPr>
      <w:r w:rsidRPr="005D564F">
        <w:rPr>
          <w:rFonts w:ascii="Avenir Next LT Pro" w:eastAsia="Aptos" w:hAnsi="Avenir Next LT Pro" w:cs="Aptos"/>
          <w:b/>
          <w:bCs/>
          <w:color w:val="156082"/>
          <w:spacing w:val="-3"/>
          <w:kern w:val="0"/>
          <w:sz w:val="28"/>
          <w:szCs w:val="28"/>
          <w:lang w:eastAsia="zh-CN"/>
          <w14:ligatures w14:val="none"/>
        </w:rPr>
        <w:t>A</w:t>
      </w:r>
      <w:r w:rsidR="00DF596F" w:rsidRPr="005D564F">
        <w:rPr>
          <w:rFonts w:ascii="Avenir Next LT Pro" w:eastAsia="Aptos" w:hAnsi="Avenir Next LT Pro" w:cs="Aptos"/>
          <w:b/>
          <w:bCs/>
          <w:color w:val="156082"/>
          <w:spacing w:val="-3"/>
          <w:kern w:val="0"/>
          <w:sz w:val="28"/>
          <w:szCs w:val="28"/>
          <w:lang w:eastAsia="zh-CN"/>
          <w14:ligatures w14:val="none"/>
        </w:rPr>
        <w:t>nnexes</w:t>
      </w:r>
    </w:p>
    <w:p w14:paraId="180966A7" w14:textId="77777777" w:rsidR="00B97A47" w:rsidRPr="005D564F" w:rsidRDefault="00B97A47" w:rsidP="00B97A47">
      <w:pPr>
        <w:pStyle w:val="ListParagraph"/>
        <w:rPr>
          <w:rFonts w:ascii="Avenir Next LT Pro" w:eastAsia="Aptos" w:hAnsi="Avenir Next LT Pro" w:cs="Aptos"/>
          <w:b/>
          <w:bCs/>
          <w:color w:val="156082"/>
          <w:spacing w:val="-3"/>
          <w:kern w:val="0"/>
          <w:sz w:val="28"/>
          <w:szCs w:val="28"/>
          <w:lang w:eastAsia="zh-CN"/>
          <w14:ligatures w14:val="none"/>
        </w:rPr>
      </w:pPr>
    </w:p>
    <w:p w14:paraId="1B11DBF5" w14:textId="4D805C13" w:rsidR="00D23F31" w:rsidRDefault="00E92F67" w:rsidP="00B97A47">
      <w:pPr>
        <w:pStyle w:val="ListParagraph"/>
        <w:numPr>
          <w:ilvl w:val="0"/>
          <w:numId w:val="13"/>
        </w:numPr>
      </w:pPr>
      <w:r>
        <w:t xml:space="preserve">Annex </w:t>
      </w:r>
      <w:r w:rsidR="009A799E">
        <w:t>1</w:t>
      </w:r>
      <w:r>
        <w:t xml:space="preserve">: </w:t>
      </w:r>
      <w:r w:rsidR="00093770" w:rsidRPr="00093770">
        <w:t>Code of Conduct for Business Partners of Aquila Group</w:t>
      </w:r>
    </w:p>
    <w:p w14:paraId="75D59E71" w14:textId="73DE5815" w:rsidR="00E92F67" w:rsidRDefault="00E92F67" w:rsidP="008F7238">
      <w:pPr>
        <w:pStyle w:val="ListParagraph"/>
        <w:numPr>
          <w:ilvl w:val="0"/>
          <w:numId w:val="13"/>
        </w:numPr>
      </w:pPr>
      <w:r>
        <w:t xml:space="preserve">Annex </w:t>
      </w:r>
      <w:r w:rsidR="009A799E">
        <w:t>2</w:t>
      </w:r>
      <w:r>
        <w:t xml:space="preserve">: </w:t>
      </w:r>
      <w:r w:rsidR="00BF5C8C" w:rsidRPr="00BF5C8C">
        <w:t>Aquila Group ESG and H&amp;S Requirements for Supply Equipment</w:t>
      </w:r>
    </w:p>
    <w:p w14:paraId="1ABAACAB" w14:textId="3A757264" w:rsidR="008F7238" w:rsidRDefault="008F7238" w:rsidP="008F7238">
      <w:pPr>
        <w:pStyle w:val="ListParagraph"/>
        <w:numPr>
          <w:ilvl w:val="0"/>
          <w:numId w:val="13"/>
        </w:numPr>
      </w:pPr>
      <w:r>
        <w:t xml:space="preserve">Annex 3: </w:t>
      </w:r>
      <w:r w:rsidR="00E37AF5">
        <w:t>Lithuanian Cyber Security requirements</w:t>
      </w:r>
      <w:r w:rsidR="001C388D">
        <w:t xml:space="preserve"> and applicable law</w:t>
      </w:r>
    </w:p>
    <w:p w14:paraId="0926AEA0" w14:textId="70F8A6DC" w:rsidR="007348B1" w:rsidRDefault="00E37AF5" w:rsidP="006656DA">
      <w:pPr>
        <w:pStyle w:val="ListParagraph"/>
        <w:numPr>
          <w:ilvl w:val="0"/>
          <w:numId w:val="13"/>
        </w:numPr>
      </w:pPr>
      <w:r>
        <w:t xml:space="preserve">Annex 4: Grid code compliance </w:t>
      </w:r>
      <w:r w:rsidR="009517B5">
        <w:t>Testing Program</w:t>
      </w:r>
    </w:p>
    <w:sectPr w:rsidR="007348B1">
      <w:headerReference w:type="default" r:id="rId12"/>
      <w:foot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66A946" w14:textId="77777777" w:rsidR="00037B91" w:rsidRDefault="00037B91" w:rsidP="00E707BB">
      <w:pPr>
        <w:spacing w:after="0" w:line="240" w:lineRule="auto"/>
      </w:pPr>
      <w:r>
        <w:separator/>
      </w:r>
    </w:p>
  </w:endnote>
  <w:endnote w:type="continuationSeparator" w:id="0">
    <w:p w14:paraId="283875AA" w14:textId="77777777" w:rsidR="00037B91" w:rsidRDefault="00037B91" w:rsidP="00E707BB">
      <w:pPr>
        <w:spacing w:after="0" w:line="240" w:lineRule="auto"/>
      </w:pPr>
      <w:r>
        <w:continuationSeparator/>
      </w:r>
    </w:p>
  </w:endnote>
  <w:endnote w:type="continuationNotice" w:id="1">
    <w:p w14:paraId="334B0375" w14:textId="77777777" w:rsidR="00037B91" w:rsidRDefault="00037B9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2">
    <w:panose1 w:val="05020102010507070707"/>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Yu Mincho">
    <w:altName w:val="游明朝"/>
    <w:panose1 w:val="02020400000000000000"/>
    <w:charset w:val="80"/>
    <w:family w:val="roman"/>
    <w:pitch w:val="variable"/>
    <w:sig w:usb0="800002E7" w:usb1="2AC7FCFF" w:usb2="00000012" w:usb3="00000000" w:csb0="0002009F" w:csb1="00000000"/>
  </w:font>
  <w:font w:name="Aptos Display">
    <w:panose1 w:val="020B0004020202020204"/>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w:panose1 w:val="020F0502020204030204"/>
    <w:charset w:val="BA"/>
    <w:family w:val="swiss"/>
    <w:pitch w:val="variable"/>
    <w:sig w:usb0="E4002EFF" w:usb1="C000247B" w:usb2="00000009" w:usb3="00000000" w:csb0="000001FF" w:csb1="00000000"/>
  </w:font>
  <w:font w:name="Frutiger-Light">
    <w:altName w:val="Times New Roman"/>
    <w:panose1 w:val="020B0604020202020204"/>
    <w:charset w:val="00"/>
    <w:family w:val="roman"/>
    <w:pitch w:val="default"/>
  </w:font>
  <w:font w:name="NSimSun">
    <w:panose1 w:val="02010609030101010101"/>
    <w:charset w:val="86"/>
    <w:family w:val="modern"/>
    <w:pitch w:val="fixed"/>
    <w:sig w:usb0="00000203" w:usb1="288F0000" w:usb2="00000016" w:usb3="00000000" w:csb0="00040001" w:csb1="00000000"/>
  </w:font>
  <w:font w:name="Avenir Next LT Pro">
    <w:panose1 w:val="020B0504020202020204"/>
    <w:charset w:val="00"/>
    <w:family w:val="swiss"/>
    <w:pitch w:val="variable"/>
    <w:sig w:usb0="800000EF" w:usb1="5000204A" w:usb2="00000000" w:usb3="00000000" w:csb0="00000093" w:csb1="00000000"/>
  </w:font>
  <w:font w:name="PMingLiU">
    <w:altName w:val="新細明體"/>
    <w:panose1 w:val="02020500000000000000"/>
    <w:charset w:val="88"/>
    <w:family w:val="roman"/>
    <w:pitch w:val="variable"/>
    <w:sig w:usb0="A00002FF" w:usb1="28CFFCFA" w:usb2="00000016" w:usb3="00000000" w:csb0="00100001"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8672" w:type="dxa"/>
      <w:tblLayout w:type="fixed"/>
      <w:tblCellMar>
        <w:left w:w="0" w:type="dxa"/>
        <w:right w:w="0" w:type="dxa"/>
      </w:tblCellMar>
      <w:tblLook w:val="04A0" w:firstRow="1" w:lastRow="0" w:firstColumn="1" w:lastColumn="0" w:noHBand="0" w:noVBand="1"/>
    </w:tblPr>
    <w:tblGrid>
      <w:gridCol w:w="5666"/>
      <w:gridCol w:w="3006"/>
    </w:tblGrid>
    <w:tr w:rsidR="002D3DED" w:rsidRPr="002D3DED" w14:paraId="7B3286A6" w14:textId="77777777" w:rsidTr="00F605D1">
      <w:trPr>
        <w:trHeight w:val="679"/>
      </w:trPr>
      <w:tc>
        <w:tcPr>
          <w:tcW w:w="5666" w:type="dxa"/>
          <w:shd w:val="clear" w:color="auto" w:fill="auto"/>
        </w:tcPr>
        <w:tbl>
          <w:tblPr>
            <w:tblW w:w="8672" w:type="dxa"/>
            <w:tblLayout w:type="fixed"/>
            <w:tblCellMar>
              <w:left w:w="0" w:type="dxa"/>
              <w:right w:w="0" w:type="dxa"/>
            </w:tblCellMar>
            <w:tblLook w:val="04A0" w:firstRow="1" w:lastRow="0" w:firstColumn="1" w:lastColumn="0" w:noHBand="0" w:noVBand="1"/>
          </w:tblPr>
          <w:tblGrid>
            <w:gridCol w:w="5666"/>
            <w:gridCol w:w="3006"/>
          </w:tblGrid>
          <w:tr w:rsidR="002D3DED" w:rsidRPr="002D3DED" w14:paraId="3949684B" w14:textId="77777777" w:rsidTr="00F605D1">
            <w:trPr>
              <w:trHeight w:val="679"/>
            </w:trPr>
            <w:tc>
              <w:tcPr>
                <w:tcW w:w="5666" w:type="dxa"/>
                <w:shd w:val="clear" w:color="auto" w:fill="auto"/>
              </w:tcPr>
              <w:p w14:paraId="45331A5D" w14:textId="77777777" w:rsidR="002D3DED" w:rsidRPr="002D3DED" w:rsidRDefault="002D3DED" w:rsidP="002D3DED">
                <w:pPr>
                  <w:tabs>
                    <w:tab w:val="left" w:pos="519"/>
                    <w:tab w:val="center" w:pos="4536"/>
                    <w:tab w:val="right" w:pos="9072"/>
                  </w:tabs>
                  <w:spacing w:after="0" w:line="180" w:lineRule="atLeast"/>
                  <w:rPr>
                    <w:rFonts w:ascii="Arial" w:eastAsia="Calibri" w:hAnsi="Arial" w:cs="Times New Roman"/>
                    <w:b/>
                    <w:color w:val="5C5B5A"/>
                    <w:kern w:val="0"/>
                    <w:sz w:val="13"/>
                    <w:lang w:val="es-ES"/>
                    <w14:ligatures w14:val="none"/>
                  </w:rPr>
                </w:pPr>
                <w:r w:rsidRPr="002D3DED">
                  <w:rPr>
                    <w:rFonts w:ascii="Arial" w:eastAsia="Calibri" w:hAnsi="Arial" w:cs="Times New Roman"/>
                    <w:b/>
                    <w:color w:val="5C5B5A"/>
                    <w:kern w:val="0"/>
                    <w:sz w:val="13"/>
                    <w:lang w:val="es-ES"/>
                    <w14:ligatures w14:val="none"/>
                  </w:rPr>
                  <w:t xml:space="preserve">Aquila </w:t>
                </w:r>
                <w:proofErr w:type="spellStart"/>
                <w:r w:rsidRPr="002D3DED">
                  <w:rPr>
                    <w:rFonts w:ascii="Arial" w:eastAsia="Calibri" w:hAnsi="Arial" w:cs="Times New Roman"/>
                    <w:b/>
                    <w:color w:val="5C5B5A"/>
                    <w:kern w:val="0"/>
                    <w:sz w:val="13"/>
                    <w:lang w:val="es-ES"/>
                    <w14:ligatures w14:val="none"/>
                  </w:rPr>
                  <w:t>Clean</w:t>
                </w:r>
                <w:proofErr w:type="spellEnd"/>
                <w:r w:rsidRPr="002D3DED">
                  <w:rPr>
                    <w:rFonts w:ascii="Arial" w:eastAsia="Calibri" w:hAnsi="Arial" w:cs="Times New Roman"/>
                    <w:b/>
                    <w:color w:val="5C5B5A"/>
                    <w:kern w:val="0"/>
                    <w:sz w:val="13"/>
                    <w:lang w:val="es-ES"/>
                    <w14:ligatures w14:val="none"/>
                  </w:rPr>
                  <w:t xml:space="preserve"> Energy</w:t>
                </w:r>
              </w:p>
              <w:p w14:paraId="54872A51" w14:textId="0D6005F9" w:rsidR="002D3DED" w:rsidRPr="002D3DED" w:rsidRDefault="002D3DED" w:rsidP="002D3DED">
                <w:pPr>
                  <w:tabs>
                    <w:tab w:val="left" w:pos="519"/>
                    <w:tab w:val="center" w:pos="4536"/>
                    <w:tab w:val="right" w:pos="9072"/>
                  </w:tabs>
                  <w:spacing w:after="0" w:line="180" w:lineRule="atLeast"/>
                  <w:rPr>
                    <w:rFonts w:ascii="Arial" w:eastAsia="Calibri" w:hAnsi="Arial" w:cs="Times New Roman"/>
                    <w:color w:val="5C5B5A"/>
                    <w:kern w:val="0"/>
                    <w:sz w:val="13"/>
                    <w:lang w:val="es-ES"/>
                    <w14:ligatures w14:val="none"/>
                  </w:rPr>
                </w:pPr>
                <w:r w:rsidRPr="002D3DED">
                  <w:rPr>
                    <w:rFonts w:ascii="Arial" w:eastAsia="Calibri" w:hAnsi="Arial" w:cs="Times New Roman"/>
                    <w:color w:val="5C5B5A"/>
                    <w:kern w:val="0"/>
                    <w:sz w:val="13"/>
                    <w:lang w:val="es-ES"/>
                    <w14:ligatures w14:val="none"/>
                  </w:rPr>
                  <w:t xml:space="preserve">Torre </w:t>
                </w:r>
                <w:r>
                  <w:rPr>
                    <w:rFonts w:ascii="Arial" w:eastAsia="Calibri" w:hAnsi="Arial" w:cs="Times New Roman"/>
                    <w:color w:val="5C5B5A"/>
                    <w:kern w:val="0"/>
                    <w:sz w:val="13"/>
                    <w:lang w:val="es-ES"/>
                    <w14:ligatures w14:val="none"/>
                  </w:rPr>
                  <w:t xml:space="preserve">Emperador </w:t>
                </w:r>
                <w:r w:rsidRPr="002D3DED">
                  <w:rPr>
                    <w:rFonts w:ascii="Arial" w:eastAsia="Calibri" w:hAnsi="Arial" w:cs="Times New Roman"/>
                    <w:color w:val="5C5B5A"/>
                    <w:kern w:val="0"/>
                    <w:sz w:val="13"/>
                    <w:lang w:val="es-ES"/>
                    <w14:ligatures w14:val="none"/>
                  </w:rPr>
                  <w:t>| Paseo de la Castellana 259D | 28046 Madrid</w:t>
                </w:r>
              </w:p>
              <w:p w14:paraId="606F38AB" w14:textId="77777777" w:rsidR="002D3DED" w:rsidRPr="002D3DED" w:rsidRDefault="002D3DED" w:rsidP="002D3DED">
                <w:pPr>
                  <w:tabs>
                    <w:tab w:val="left" w:pos="519"/>
                    <w:tab w:val="center" w:pos="4536"/>
                    <w:tab w:val="right" w:pos="9072"/>
                  </w:tabs>
                  <w:spacing w:after="0" w:line="180" w:lineRule="atLeast"/>
                  <w:rPr>
                    <w:rFonts w:ascii="Arial" w:eastAsia="Calibri" w:hAnsi="Arial" w:cs="Times New Roman"/>
                    <w:color w:val="5C5B5A"/>
                    <w:kern w:val="0"/>
                    <w:sz w:val="13"/>
                    <w:lang w:val="es-ES"/>
                    <w14:ligatures w14:val="none"/>
                  </w:rPr>
                </w:pPr>
              </w:p>
              <w:p w14:paraId="25DDF0C2" w14:textId="77777777" w:rsidR="002D3DED" w:rsidRPr="002D3DED" w:rsidRDefault="002D3DED" w:rsidP="002D3DED">
                <w:pPr>
                  <w:tabs>
                    <w:tab w:val="left" w:pos="519"/>
                    <w:tab w:val="center" w:pos="4536"/>
                    <w:tab w:val="right" w:pos="9072"/>
                  </w:tabs>
                  <w:spacing w:after="0" w:line="180" w:lineRule="atLeast"/>
                  <w:rPr>
                    <w:rFonts w:ascii="Arial" w:eastAsia="Calibri" w:hAnsi="Arial" w:cs="Times New Roman"/>
                    <w:color w:val="5C5B5A"/>
                    <w:kern w:val="0"/>
                    <w:sz w:val="13"/>
                    <w:lang w:val="es-ES"/>
                    <w14:ligatures w14:val="none"/>
                  </w:rPr>
                </w:pPr>
              </w:p>
            </w:tc>
            <w:tc>
              <w:tcPr>
                <w:tcW w:w="3006" w:type="dxa"/>
                <w:shd w:val="clear" w:color="auto" w:fill="auto"/>
              </w:tcPr>
              <w:p w14:paraId="4E6A06E3" w14:textId="77777777" w:rsidR="002D3DED" w:rsidRPr="002D3DED" w:rsidRDefault="002D3DED" w:rsidP="002D3DED">
                <w:pPr>
                  <w:tabs>
                    <w:tab w:val="left" w:pos="519"/>
                    <w:tab w:val="center" w:pos="4536"/>
                    <w:tab w:val="right" w:pos="9072"/>
                  </w:tabs>
                  <w:spacing w:after="0" w:line="180" w:lineRule="atLeast"/>
                  <w:ind w:left="-20" w:firstLine="610"/>
                  <w:rPr>
                    <w:rFonts w:ascii="Arial" w:eastAsia="Calibri" w:hAnsi="Arial" w:cs="Times New Roman"/>
                    <w:color w:val="5C5B5A"/>
                    <w:kern w:val="0"/>
                    <w:sz w:val="13"/>
                    <w:lang w:val="en-GB"/>
                    <w14:ligatures w14:val="none"/>
                  </w:rPr>
                </w:pPr>
                <w:r w:rsidRPr="002D3DED">
                  <w:rPr>
                    <w:rFonts w:ascii="Arial" w:eastAsia="Calibri" w:hAnsi="Arial" w:cs="Times New Roman"/>
                    <w:color w:val="5C5B5A"/>
                    <w:kern w:val="0"/>
                    <w:sz w:val="13"/>
                    <w:lang w:val="en-GB"/>
                    <w14:ligatures w14:val="none"/>
                  </w:rPr>
                  <w:t>Phone +34 91 511 90 50</w:t>
                </w:r>
              </w:p>
              <w:p w14:paraId="54970615" w14:textId="098102CA" w:rsidR="002D3DED" w:rsidRPr="002D3DED" w:rsidRDefault="002D3DED" w:rsidP="002D3DED">
                <w:pPr>
                  <w:tabs>
                    <w:tab w:val="left" w:pos="519"/>
                    <w:tab w:val="center" w:pos="4536"/>
                    <w:tab w:val="right" w:pos="9072"/>
                  </w:tabs>
                  <w:spacing w:after="0" w:line="180" w:lineRule="atLeast"/>
                  <w:ind w:left="-20" w:firstLine="610"/>
                  <w:rPr>
                    <w:rFonts w:ascii="Arial" w:eastAsia="Calibri" w:hAnsi="Arial" w:cs="Times New Roman"/>
                    <w:color w:val="5C5B5A"/>
                    <w:kern w:val="0"/>
                    <w:sz w:val="13"/>
                    <w:lang w:val="en-GB"/>
                    <w14:ligatures w14:val="none"/>
                  </w:rPr>
                </w:pPr>
                <w:r w:rsidRPr="002D3DED">
                  <w:rPr>
                    <w:rFonts w:ascii="Arial" w:eastAsia="Calibri" w:hAnsi="Arial" w:cs="Times New Roman"/>
                    <w:color w:val="5C5B5A"/>
                    <w:kern w:val="0"/>
                    <w:sz w:val="13"/>
                    <w:lang w:val="en-GB"/>
                    <w14:ligatures w14:val="none"/>
                  </w:rPr>
                  <w:t>Phone +351 211 328 4</w:t>
                </w:r>
                <w:r w:rsidR="00177D26">
                  <w:rPr>
                    <w:rFonts w:ascii="Arial" w:eastAsia="Calibri" w:hAnsi="Arial" w:cs="Times New Roman"/>
                    <w:color w:val="5C5B5A"/>
                    <w:kern w:val="0"/>
                    <w:sz w:val="13"/>
                    <w:lang w:val="en-GB"/>
                    <w14:ligatures w14:val="none"/>
                  </w:rPr>
                  <w:t xml:space="preserve"> ye</w:t>
                </w:r>
              </w:p>
              <w:p w14:paraId="40D148BE" w14:textId="77777777" w:rsidR="002D3DED" w:rsidRPr="002D3DED" w:rsidRDefault="002D3DED" w:rsidP="002D3DED">
                <w:pPr>
                  <w:tabs>
                    <w:tab w:val="left" w:pos="519"/>
                    <w:tab w:val="center" w:pos="4536"/>
                    <w:tab w:val="right" w:pos="9072"/>
                  </w:tabs>
                  <w:spacing w:after="0" w:line="180" w:lineRule="atLeast"/>
                  <w:ind w:left="-20" w:firstLine="610"/>
                  <w:rPr>
                    <w:rFonts w:ascii="Arial" w:eastAsia="Calibri" w:hAnsi="Arial" w:cs="Times New Roman"/>
                    <w:color w:val="5C5B5A"/>
                    <w:kern w:val="0"/>
                    <w:sz w:val="13"/>
                    <w:lang w:val="en-GB"/>
                    <w14:ligatures w14:val="none"/>
                  </w:rPr>
                </w:pPr>
                <w:r w:rsidRPr="002D3DED">
                  <w:rPr>
                    <w:rFonts w:ascii="Arial" w:eastAsia="Calibri" w:hAnsi="Arial" w:cs="Times New Roman"/>
                    <w:color w:val="5C5B5A"/>
                    <w:kern w:val="0"/>
                    <w:sz w:val="13"/>
                    <w:lang w:val="en-GB"/>
                    <w14:ligatures w14:val="none"/>
                  </w:rPr>
                  <w:t xml:space="preserve">info@aquila-capital.com </w:t>
                </w:r>
              </w:p>
              <w:p w14:paraId="37E07731" w14:textId="77777777" w:rsidR="002D3DED" w:rsidRPr="002D3DED" w:rsidRDefault="002D3DED" w:rsidP="002D3DED">
                <w:pPr>
                  <w:tabs>
                    <w:tab w:val="left" w:pos="519"/>
                    <w:tab w:val="center" w:pos="4536"/>
                    <w:tab w:val="right" w:pos="9072"/>
                  </w:tabs>
                  <w:spacing w:after="0" w:line="180" w:lineRule="atLeast"/>
                  <w:ind w:left="-20" w:firstLine="610"/>
                  <w:rPr>
                    <w:rFonts w:ascii="Arial" w:eastAsia="Calibri" w:hAnsi="Arial" w:cs="Times New Roman"/>
                    <w:color w:val="5C5B5A"/>
                    <w:kern w:val="0"/>
                    <w:sz w:val="13"/>
                    <w:lang w:val="de-DE"/>
                    <w14:ligatures w14:val="none"/>
                  </w:rPr>
                </w:pPr>
                <w:r w:rsidRPr="002D3DED">
                  <w:rPr>
                    <w:rFonts w:ascii="Arial" w:eastAsia="Calibri" w:hAnsi="Arial" w:cs="Times New Roman"/>
                    <w:color w:val="5C5B5A"/>
                    <w:kern w:val="0"/>
                    <w:sz w:val="13"/>
                    <w:lang w:val="en-GB"/>
                    <w14:ligatures w14:val="none"/>
                  </w:rPr>
                  <w:t>www.aquila-capital.com</w:t>
                </w:r>
              </w:p>
            </w:tc>
          </w:tr>
        </w:tbl>
        <w:p w14:paraId="5032E8C0" w14:textId="77777777" w:rsidR="002D3DED" w:rsidRPr="002D3DED" w:rsidRDefault="002D3DED" w:rsidP="002D3DED">
          <w:pPr>
            <w:tabs>
              <w:tab w:val="left" w:pos="519"/>
              <w:tab w:val="center" w:pos="4536"/>
              <w:tab w:val="right" w:pos="9072"/>
            </w:tabs>
            <w:spacing w:after="0" w:line="180" w:lineRule="atLeast"/>
            <w:rPr>
              <w:rFonts w:ascii="Arial" w:eastAsia="Calibri" w:hAnsi="Arial" w:cs="Times New Roman"/>
              <w:color w:val="5C5B5A"/>
              <w:kern w:val="0"/>
              <w:sz w:val="13"/>
              <w:lang w:val="es-ES"/>
              <w14:ligatures w14:val="none"/>
            </w:rPr>
          </w:pPr>
        </w:p>
      </w:tc>
      <w:tc>
        <w:tcPr>
          <w:tcW w:w="3006" w:type="dxa"/>
          <w:shd w:val="clear" w:color="auto" w:fill="auto"/>
        </w:tcPr>
        <w:tbl>
          <w:tblPr>
            <w:tblW w:w="8672" w:type="dxa"/>
            <w:tblLayout w:type="fixed"/>
            <w:tblCellMar>
              <w:left w:w="0" w:type="dxa"/>
              <w:right w:w="0" w:type="dxa"/>
            </w:tblCellMar>
            <w:tblLook w:val="04A0" w:firstRow="1" w:lastRow="0" w:firstColumn="1" w:lastColumn="0" w:noHBand="0" w:noVBand="1"/>
          </w:tblPr>
          <w:tblGrid>
            <w:gridCol w:w="5666"/>
            <w:gridCol w:w="3006"/>
          </w:tblGrid>
          <w:tr w:rsidR="002D3DED" w:rsidRPr="002D3DED" w14:paraId="49B96D2E" w14:textId="77777777" w:rsidTr="00F605D1">
            <w:trPr>
              <w:trHeight w:val="679"/>
            </w:trPr>
            <w:tc>
              <w:tcPr>
                <w:tcW w:w="5666" w:type="dxa"/>
                <w:shd w:val="clear" w:color="auto" w:fill="auto"/>
              </w:tcPr>
              <w:p w14:paraId="4C17EFFB" w14:textId="77777777" w:rsidR="002D3DED" w:rsidRPr="002D3DED" w:rsidRDefault="002D3DED" w:rsidP="002D3DED">
                <w:pPr>
                  <w:tabs>
                    <w:tab w:val="left" w:pos="519"/>
                    <w:tab w:val="center" w:pos="4536"/>
                    <w:tab w:val="right" w:pos="9072"/>
                  </w:tabs>
                  <w:spacing w:after="0" w:line="180" w:lineRule="atLeast"/>
                  <w:rPr>
                    <w:rFonts w:ascii="Arial" w:eastAsia="Calibri" w:hAnsi="Arial" w:cs="Times New Roman"/>
                    <w:bCs/>
                    <w:color w:val="5C5B5A"/>
                    <w:kern w:val="0"/>
                    <w:sz w:val="13"/>
                    <w14:ligatures w14:val="none"/>
                  </w:rPr>
                </w:pPr>
                <w:r w:rsidRPr="002D3DED">
                  <w:rPr>
                    <w:rFonts w:ascii="Arial" w:eastAsia="Calibri" w:hAnsi="Arial" w:cs="Times New Roman"/>
                    <w:bCs/>
                    <w:color w:val="5C5B5A"/>
                    <w:kern w:val="0"/>
                    <w:sz w:val="13"/>
                    <w14:ligatures w14:val="none"/>
                  </w:rPr>
                  <w:t>Phone +34 91 511 90 50</w:t>
                </w:r>
              </w:p>
              <w:p w14:paraId="4D5E4F0B" w14:textId="77777777" w:rsidR="002D3DED" w:rsidRPr="002D3DED" w:rsidRDefault="002D3DED" w:rsidP="002D3DED">
                <w:pPr>
                  <w:tabs>
                    <w:tab w:val="left" w:pos="519"/>
                    <w:tab w:val="center" w:pos="4536"/>
                    <w:tab w:val="right" w:pos="9072"/>
                  </w:tabs>
                  <w:spacing w:after="0" w:line="180" w:lineRule="atLeast"/>
                  <w:rPr>
                    <w:rFonts w:ascii="Arial" w:eastAsia="Calibri" w:hAnsi="Arial" w:cs="Times New Roman"/>
                    <w:bCs/>
                    <w:color w:val="5C5B5A"/>
                    <w:kern w:val="0"/>
                    <w:sz w:val="13"/>
                    <w14:ligatures w14:val="none"/>
                  </w:rPr>
                </w:pPr>
                <w:r w:rsidRPr="002D3DED">
                  <w:rPr>
                    <w:rFonts w:ascii="Arial" w:eastAsia="Calibri" w:hAnsi="Arial" w:cs="Times New Roman"/>
                    <w:bCs/>
                    <w:color w:val="5C5B5A"/>
                    <w:kern w:val="0"/>
                    <w:sz w:val="13"/>
                    <w14:ligatures w14:val="none"/>
                  </w:rPr>
                  <w:t xml:space="preserve">info@aquila-capital.com </w:t>
                </w:r>
              </w:p>
              <w:p w14:paraId="360B3130" w14:textId="17D97B68" w:rsidR="002D3DED" w:rsidRPr="002D3DED" w:rsidRDefault="002D3DED" w:rsidP="002D3DED">
                <w:pPr>
                  <w:tabs>
                    <w:tab w:val="left" w:pos="519"/>
                    <w:tab w:val="center" w:pos="4536"/>
                    <w:tab w:val="right" w:pos="9072"/>
                  </w:tabs>
                  <w:spacing w:after="0" w:line="180" w:lineRule="atLeast"/>
                  <w:rPr>
                    <w:rFonts w:ascii="Arial" w:eastAsia="Calibri" w:hAnsi="Arial" w:cs="Times New Roman"/>
                    <w:color w:val="5C5B5A"/>
                    <w:kern w:val="0"/>
                    <w:sz w:val="13"/>
                    <w14:ligatures w14:val="none"/>
                  </w:rPr>
                </w:pPr>
                <w:r w:rsidRPr="002D3DED">
                  <w:rPr>
                    <w:rFonts w:ascii="Arial" w:eastAsia="Calibri" w:hAnsi="Arial" w:cs="Times New Roman"/>
                    <w:bCs/>
                    <w:color w:val="5C5B5A"/>
                    <w:kern w:val="0"/>
                    <w:sz w:val="13"/>
                    <w14:ligatures w14:val="none"/>
                  </w:rPr>
                  <w:t>www.aquila-</w:t>
                </w:r>
                <w:r w:rsidR="00C522F1">
                  <w:rPr>
                    <w:rFonts w:ascii="Arial" w:eastAsia="Calibri" w:hAnsi="Arial" w:cs="Times New Roman"/>
                    <w:bCs/>
                    <w:color w:val="5C5B5A"/>
                    <w:kern w:val="0"/>
                    <w:sz w:val="13"/>
                    <w14:ligatures w14:val="none"/>
                  </w:rPr>
                  <w:t>clean</w:t>
                </w:r>
                <w:r w:rsidR="00DB725E">
                  <w:rPr>
                    <w:rFonts w:ascii="Arial" w:eastAsia="Calibri" w:hAnsi="Arial" w:cs="Times New Roman"/>
                    <w:bCs/>
                    <w:color w:val="5C5B5A"/>
                    <w:kern w:val="0"/>
                    <w:sz w:val="13"/>
                    <w14:ligatures w14:val="none"/>
                  </w:rPr>
                  <w:t>-e</w:t>
                </w:r>
                <w:r w:rsidR="00E4177F">
                  <w:rPr>
                    <w:rFonts w:ascii="Arial" w:eastAsia="Calibri" w:hAnsi="Arial" w:cs="Times New Roman"/>
                    <w:bCs/>
                    <w:color w:val="5C5B5A"/>
                    <w:kern w:val="0"/>
                    <w:sz w:val="13"/>
                    <w14:ligatures w14:val="none"/>
                  </w:rPr>
                  <w:t>ner</w:t>
                </w:r>
                <w:r w:rsidR="00DB725E">
                  <w:rPr>
                    <w:rFonts w:ascii="Arial" w:eastAsia="Calibri" w:hAnsi="Arial" w:cs="Times New Roman"/>
                    <w:bCs/>
                    <w:color w:val="5C5B5A"/>
                    <w:kern w:val="0"/>
                    <w:sz w:val="13"/>
                    <w14:ligatures w14:val="none"/>
                  </w:rPr>
                  <w:t>rgy</w:t>
                </w:r>
                <w:r w:rsidRPr="002D3DED">
                  <w:rPr>
                    <w:rFonts w:ascii="Arial" w:eastAsia="Calibri" w:hAnsi="Arial" w:cs="Times New Roman"/>
                    <w:bCs/>
                    <w:color w:val="5C5B5A"/>
                    <w:kern w:val="0"/>
                    <w:sz w:val="13"/>
                    <w14:ligatures w14:val="none"/>
                  </w:rPr>
                  <w:t>.com</w:t>
                </w:r>
                <w:r w:rsidRPr="002D3DED">
                  <w:rPr>
                    <w:rFonts w:ascii="Arial" w:eastAsia="Calibri" w:hAnsi="Arial" w:cs="Times New Roman"/>
                    <w:b/>
                    <w:color w:val="5C5B5A"/>
                    <w:kern w:val="0"/>
                    <w:sz w:val="13"/>
                    <w14:ligatures w14:val="none"/>
                  </w:rPr>
                  <w:t xml:space="preserve"> </w:t>
                </w:r>
              </w:p>
            </w:tc>
            <w:tc>
              <w:tcPr>
                <w:tcW w:w="3006" w:type="dxa"/>
                <w:shd w:val="clear" w:color="auto" w:fill="auto"/>
              </w:tcPr>
              <w:p w14:paraId="666AD042" w14:textId="77777777" w:rsidR="002D3DED" w:rsidRPr="002D3DED" w:rsidRDefault="002D3DED" w:rsidP="002D3DED">
                <w:pPr>
                  <w:tabs>
                    <w:tab w:val="left" w:pos="519"/>
                    <w:tab w:val="center" w:pos="4536"/>
                    <w:tab w:val="right" w:pos="9072"/>
                  </w:tabs>
                  <w:spacing w:after="0" w:line="180" w:lineRule="atLeast"/>
                  <w:ind w:left="-20" w:firstLine="610"/>
                  <w:rPr>
                    <w:rFonts w:ascii="Arial" w:eastAsia="Calibri" w:hAnsi="Arial" w:cs="Times New Roman"/>
                    <w:color w:val="5C5B5A"/>
                    <w:kern w:val="0"/>
                    <w:sz w:val="13"/>
                    <w:lang w:val="en-GB"/>
                    <w14:ligatures w14:val="none"/>
                  </w:rPr>
                </w:pPr>
                <w:r w:rsidRPr="002D3DED">
                  <w:rPr>
                    <w:rFonts w:ascii="Arial" w:eastAsia="Calibri" w:hAnsi="Arial" w:cs="Times New Roman"/>
                    <w:color w:val="5C5B5A"/>
                    <w:kern w:val="0"/>
                    <w:sz w:val="13"/>
                    <w:lang w:val="en-GB"/>
                    <w14:ligatures w14:val="none"/>
                  </w:rPr>
                  <w:t>Phone +34 91 511 90 50</w:t>
                </w:r>
              </w:p>
              <w:p w14:paraId="2AC45B4E" w14:textId="67E57261" w:rsidR="002D3DED" w:rsidRDefault="002D3DED" w:rsidP="002D3DED">
                <w:pPr>
                  <w:tabs>
                    <w:tab w:val="left" w:pos="519"/>
                    <w:tab w:val="center" w:pos="4536"/>
                    <w:tab w:val="right" w:pos="9072"/>
                  </w:tabs>
                  <w:spacing w:after="0" w:line="180" w:lineRule="atLeast"/>
                  <w:ind w:left="-20" w:firstLine="610"/>
                  <w:rPr>
                    <w:rFonts w:ascii="Arial" w:eastAsia="Calibri" w:hAnsi="Arial" w:cs="Times New Roman"/>
                    <w:color w:val="5C5B5A"/>
                    <w:kern w:val="0"/>
                    <w:sz w:val="13"/>
                    <w:lang w:val="en-GB"/>
                    <w14:ligatures w14:val="none"/>
                  </w:rPr>
                </w:pPr>
                <w:r w:rsidRPr="002D3DED">
                  <w:rPr>
                    <w:rFonts w:ascii="Arial" w:eastAsia="Calibri" w:hAnsi="Arial" w:cs="Times New Roman"/>
                    <w:color w:val="5C5B5A"/>
                    <w:kern w:val="0"/>
                    <w:sz w:val="13"/>
                    <w:lang w:val="en-GB"/>
                    <w14:ligatures w14:val="none"/>
                  </w:rPr>
                  <w:t>Phone +351 211 328</w:t>
                </w:r>
                <w:r w:rsidR="00177D26">
                  <w:rPr>
                    <w:rFonts w:ascii="Arial" w:eastAsia="Calibri" w:hAnsi="Arial" w:cs="Times New Roman"/>
                    <w:color w:val="5C5B5A"/>
                    <w:kern w:val="0"/>
                    <w:sz w:val="13"/>
                    <w:lang w:val="en-GB"/>
                    <w14:ligatures w14:val="none"/>
                  </w:rPr>
                  <w:t> </w:t>
                </w:r>
                <w:r w:rsidRPr="002D3DED">
                  <w:rPr>
                    <w:rFonts w:ascii="Arial" w:eastAsia="Calibri" w:hAnsi="Arial" w:cs="Times New Roman"/>
                    <w:color w:val="5C5B5A"/>
                    <w:kern w:val="0"/>
                    <w:sz w:val="13"/>
                    <w:lang w:val="en-GB"/>
                    <w14:ligatures w14:val="none"/>
                  </w:rPr>
                  <w:t>420</w:t>
                </w:r>
              </w:p>
              <w:p w14:paraId="753B905F" w14:textId="77777777" w:rsidR="00177D26" w:rsidRDefault="00177D26" w:rsidP="002D3DED">
                <w:pPr>
                  <w:tabs>
                    <w:tab w:val="left" w:pos="519"/>
                    <w:tab w:val="center" w:pos="4536"/>
                    <w:tab w:val="right" w:pos="9072"/>
                  </w:tabs>
                  <w:spacing w:after="0" w:line="180" w:lineRule="atLeast"/>
                  <w:ind w:left="-20" w:firstLine="610"/>
                  <w:rPr>
                    <w:rFonts w:ascii="Arial" w:eastAsia="Calibri" w:hAnsi="Arial" w:cs="Times New Roman"/>
                    <w:color w:val="5C5B5A"/>
                    <w:kern w:val="0"/>
                    <w:sz w:val="13"/>
                    <w:lang w:val="en-GB"/>
                    <w14:ligatures w14:val="none"/>
                  </w:rPr>
                </w:pPr>
              </w:p>
              <w:p w14:paraId="0F551848" w14:textId="77777777" w:rsidR="00177D26" w:rsidRPr="002D3DED" w:rsidRDefault="00177D26" w:rsidP="002D3DED">
                <w:pPr>
                  <w:tabs>
                    <w:tab w:val="left" w:pos="519"/>
                    <w:tab w:val="center" w:pos="4536"/>
                    <w:tab w:val="right" w:pos="9072"/>
                  </w:tabs>
                  <w:spacing w:after="0" w:line="180" w:lineRule="atLeast"/>
                  <w:ind w:left="-20" w:firstLine="610"/>
                  <w:rPr>
                    <w:rFonts w:ascii="Arial" w:eastAsia="Calibri" w:hAnsi="Arial" w:cs="Times New Roman"/>
                    <w:color w:val="5C5B5A"/>
                    <w:kern w:val="0"/>
                    <w:sz w:val="13"/>
                    <w:lang w:val="en-GB"/>
                    <w14:ligatures w14:val="none"/>
                  </w:rPr>
                </w:pPr>
              </w:p>
              <w:p w14:paraId="49EF8552" w14:textId="77777777" w:rsidR="002D3DED" w:rsidRPr="002D3DED" w:rsidRDefault="002D3DED" w:rsidP="002D3DED">
                <w:pPr>
                  <w:tabs>
                    <w:tab w:val="left" w:pos="519"/>
                    <w:tab w:val="center" w:pos="4536"/>
                    <w:tab w:val="right" w:pos="9072"/>
                  </w:tabs>
                  <w:spacing w:after="0" w:line="180" w:lineRule="atLeast"/>
                  <w:ind w:left="-20" w:firstLine="610"/>
                  <w:rPr>
                    <w:rFonts w:ascii="Arial" w:eastAsia="Calibri" w:hAnsi="Arial" w:cs="Times New Roman"/>
                    <w:color w:val="5C5B5A"/>
                    <w:kern w:val="0"/>
                    <w:sz w:val="13"/>
                    <w:lang w:val="en-GB"/>
                    <w14:ligatures w14:val="none"/>
                  </w:rPr>
                </w:pPr>
                <w:r w:rsidRPr="002D3DED">
                  <w:rPr>
                    <w:rFonts w:ascii="Arial" w:eastAsia="Calibri" w:hAnsi="Arial" w:cs="Times New Roman"/>
                    <w:color w:val="5C5B5A"/>
                    <w:kern w:val="0"/>
                    <w:sz w:val="13"/>
                    <w:lang w:val="en-GB"/>
                    <w14:ligatures w14:val="none"/>
                  </w:rPr>
                  <w:t xml:space="preserve">info@aquila-capital.com </w:t>
                </w:r>
              </w:p>
              <w:p w14:paraId="04DA674B" w14:textId="77777777" w:rsidR="002D3DED" w:rsidRPr="002D3DED" w:rsidRDefault="002D3DED" w:rsidP="002D3DED">
                <w:pPr>
                  <w:tabs>
                    <w:tab w:val="left" w:pos="519"/>
                    <w:tab w:val="center" w:pos="4536"/>
                    <w:tab w:val="right" w:pos="9072"/>
                  </w:tabs>
                  <w:spacing w:after="0" w:line="180" w:lineRule="atLeast"/>
                  <w:ind w:left="-20" w:firstLine="610"/>
                  <w:rPr>
                    <w:rFonts w:ascii="Arial" w:eastAsia="Calibri" w:hAnsi="Arial" w:cs="Times New Roman"/>
                    <w:color w:val="5C5B5A"/>
                    <w:kern w:val="0"/>
                    <w:sz w:val="13"/>
                    <w:lang w:val="de-DE"/>
                    <w14:ligatures w14:val="none"/>
                  </w:rPr>
                </w:pPr>
                <w:r w:rsidRPr="002D3DED">
                  <w:rPr>
                    <w:rFonts w:ascii="Arial" w:eastAsia="Calibri" w:hAnsi="Arial" w:cs="Times New Roman"/>
                    <w:color w:val="5C5B5A"/>
                    <w:kern w:val="0"/>
                    <w:sz w:val="13"/>
                    <w:lang w:val="en-GB"/>
                    <w14:ligatures w14:val="none"/>
                  </w:rPr>
                  <w:t>www.aquila-capital.com</w:t>
                </w:r>
              </w:p>
            </w:tc>
          </w:tr>
        </w:tbl>
        <w:p w14:paraId="699E5BBE" w14:textId="77777777" w:rsidR="002D3DED" w:rsidRPr="002D3DED" w:rsidRDefault="002D3DED" w:rsidP="002D3DED">
          <w:pPr>
            <w:tabs>
              <w:tab w:val="left" w:pos="519"/>
              <w:tab w:val="center" w:pos="4536"/>
              <w:tab w:val="right" w:pos="9072"/>
            </w:tabs>
            <w:spacing w:after="0" w:line="180" w:lineRule="atLeast"/>
            <w:ind w:left="-20" w:firstLine="610"/>
            <w:rPr>
              <w:rFonts w:ascii="Arial" w:eastAsia="Calibri" w:hAnsi="Arial" w:cs="Times New Roman"/>
              <w:color w:val="5C5B5A"/>
              <w:kern w:val="0"/>
              <w:sz w:val="13"/>
              <w:lang w:val="de-DE"/>
              <w14:ligatures w14:val="none"/>
            </w:rPr>
          </w:pPr>
        </w:p>
      </w:tc>
    </w:tr>
  </w:tbl>
  <w:p w14:paraId="762331EB" w14:textId="77777777" w:rsidR="00B97A47" w:rsidRPr="0099638C" w:rsidRDefault="00B97A47">
    <w:pPr>
      <w:pStyle w:val="Footer"/>
      <w:rPr>
        <w:lang w:val="es-E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61F27C" w14:textId="77777777" w:rsidR="00037B91" w:rsidRDefault="00037B91" w:rsidP="00E707BB">
      <w:pPr>
        <w:spacing w:after="0" w:line="240" w:lineRule="auto"/>
      </w:pPr>
      <w:r>
        <w:separator/>
      </w:r>
    </w:p>
  </w:footnote>
  <w:footnote w:type="continuationSeparator" w:id="0">
    <w:p w14:paraId="7548B31F" w14:textId="77777777" w:rsidR="00037B91" w:rsidRDefault="00037B91" w:rsidP="00E707BB">
      <w:pPr>
        <w:spacing w:after="0" w:line="240" w:lineRule="auto"/>
      </w:pPr>
      <w:r>
        <w:continuationSeparator/>
      </w:r>
    </w:p>
  </w:footnote>
  <w:footnote w:type="continuationNotice" w:id="1">
    <w:p w14:paraId="5C97B61E" w14:textId="77777777" w:rsidR="00037B91" w:rsidRDefault="00037B9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631A03" w14:textId="1CD7D417" w:rsidR="00E707BB" w:rsidRDefault="005F22FC">
    <w:pPr>
      <w:pStyle w:val="Header"/>
    </w:pPr>
    <w:r w:rsidRPr="00E92236">
      <w:rPr>
        <w:noProof/>
        <w:sz w:val="16"/>
        <w:szCs w:val="16"/>
      </w:rPr>
      <w:drawing>
        <wp:anchor distT="0" distB="0" distL="114300" distR="114300" simplePos="0" relativeHeight="251658240" behindDoc="0" locked="0" layoutInCell="1" allowOverlap="1" wp14:anchorId="1EF02BEE" wp14:editId="04B9650B">
          <wp:simplePos x="0" y="0"/>
          <wp:positionH relativeFrom="margin">
            <wp:posOffset>5019675</wp:posOffset>
          </wp:positionH>
          <wp:positionV relativeFrom="paragraph">
            <wp:posOffset>-323850</wp:posOffset>
          </wp:positionV>
          <wp:extent cx="1517401" cy="679433"/>
          <wp:effectExtent l="0" t="0" r="0" b="0"/>
          <wp:wrapNone/>
          <wp:docPr id="1781548887" name="Picture 3" descr="A black background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4962773" name="Picture 3" descr="A black background with white text&#10;&#10;Description automatically generated"/>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7401" cy="679433"/>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720296"/>
    <w:multiLevelType w:val="multilevel"/>
    <w:tmpl w:val="02720296"/>
    <w:lvl w:ilvl="0">
      <w:start w:val="1"/>
      <w:numFmt w:val="bullet"/>
      <w:pStyle w:val="Bulletliste"/>
      <w:lvlText w:val=""/>
      <w:lvlJc w:val="left"/>
      <w:pPr>
        <w:ind w:left="284" w:hanging="284"/>
      </w:pPr>
      <w:rPr>
        <w:rFonts w:ascii="Wingdings 2" w:hAnsi="Wingdings 2" w:hint="default"/>
        <w:color w:val="000000"/>
      </w:rPr>
    </w:lvl>
    <w:lvl w:ilvl="1">
      <w:start w:val="1"/>
      <w:numFmt w:val="bullet"/>
      <w:lvlText w:val="–"/>
      <w:lvlJc w:val="left"/>
      <w:pPr>
        <w:ind w:left="567" w:hanging="283"/>
      </w:pPr>
      <w:rPr>
        <w:rFonts w:ascii="Arial" w:hAnsi="Arial" w:hint="default"/>
      </w:rPr>
    </w:lvl>
    <w:lvl w:ilvl="2">
      <w:start w:val="1"/>
      <w:numFmt w:val="bullet"/>
      <w:lvlText w:val=""/>
      <w:lvlJc w:val="left"/>
      <w:pPr>
        <w:ind w:left="927" w:hanging="360"/>
      </w:pPr>
      <w:rPr>
        <w:rFonts w:ascii="Symbol" w:hAnsi="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0618660F"/>
    <w:multiLevelType w:val="multilevel"/>
    <w:tmpl w:val="0618660F"/>
    <w:lvl w:ilvl="0">
      <w:start w:val="1"/>
      <w:numFmt w:val="upp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746426F"/>
    <w:multiLevelType w:val="multilevel"/>
    <w:tmpl w:val="0746426F"/>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0E84DF0C"/>
    <w:multiLevelType w:val="hybridMultilevel"/>
    <w:tmpl w:val="259AEEEA"/>
    <w:lvl w:ilvl="0" w:tplc="2D5EC820">
      <w:start w:val="1"/>
      <w:numFmt w:val="bullet"/>
      <w:lvlText w:val="§"/>
      <w:lvlJc w:val="left"/>
      <w:pPr>
        <w:ind w:left="720" w:hanging="360"/>
      </w:pPr>
      <w:rPr>
        <w:rFonts w:ascii="Wingdings" w:hAnsi="Wingdings" w:hint="default"/>
      </w:rPr>
    </w:lvl>
    <w:lvl w:ilvl="1" w:tplc="ECF87CA0">
      <w:start w:val="1"/>
      <w:numFmt w:val="bullet"/>
      <w:lvlText w:val="o"/>
      <w:lvlJc w:val="left"/>
      <w:pPr>
        <w:ind w:left="1440" w:hanging="360"/>
      </w:pPr>
      <w:rPr>
        <w:rFonts w:ascii="Courier New" w:hAnsi="Courier New" w:hint="default"/>
      </w:rPr>
    </w:lvl>
    <w:lvl w:ilvl="2" w:tplc="A9B04332">
      <w:start w:val="1"/>
      <w:numFmt w:val="bullet"/>
      <w:lvlText w:val=""/>
      <w:lvlJc w:val="left"/>
      <w:pPr>
        <w:ind w:left="2160" w:hanging="360"/>
      </w:pPr>
      <w:rPr>
        <w:rFonts w:ascii="Wingdings" w:hAnsi="Wingdings" w:hint="default"/>
      </w:rPr>
    </w:lvl>
    <w:lvl w:ilvl="3" w:tplc="23C230FE">
      <w:start w:val="1"/>
      <w:numFmt w:val="bullet"/>
      <w:lvlText w:val=""/>
      <w:lvlJc w:val="left"/>
      <w:pPr>
        <w:ind w:left="2880" w:hanging="360"/>
      </w:pPr>
      <w:rPr>
        <w:rFonts w:ascii="Symbol" w:hAnsi="Symbol" w:hint="default"/>
      </w:rPr>
    </w:lvl>
    <w:lvl w:ilvl="4" w:tplc="DD2ED2A0">
      <w:start w:val="1"/>
      <w:numFmt w:val="bullet"/>
      <w:lvlText w:val="o"/>
      <w:lvlJc w:val="left"/>
      <w:pPr>
        <w:ind w:left="3600" w:hanging="360"/>
      </w:pPr>
      <w:rPr>
        <w:rFonts w:ascii="Courier New" w:hAnsi="Courier New" w:hint="default"/>
      </w:rPr>
    </w:lvl>
    <w:lvl w:ilvl="5" w:tplc="BB88D34E">
      <w:start w:val="1"/>
      <w:numFmt w:val="bullet"/>
      <w:lvlText w:val=""/>
      <w:lvlJc w:val="left"/>
      <w:pPr>
        <w:ind w:left="4320" w:hanging="360"/>
      </w:pPr>
      <w:rPr>
        <w:rFonts w:ascii="Wingdings" w:hAnsi="Wingdings" w:hint="default"/>
      </w:rPr>
    </w:lvl>
    <w:lvl w:ilvl="6" w:tplc="16CA823C">
      <w:start w:val="1"/>
      <w:numFmt w:val="bullet"/>
      <w:lvlText w:val=""/>
      <w:lvlJc w:val="left"/>
      <w:pPr>
        <w:ind w:left="5040" w:hanging="360"/>
      </w:pPr>
      <w:rPr>
        <w:rFonts w:ascii="Symbol" w:hAnsi="Symbol" w:hint="default"/>
      </w:rPr>
    </w:lvl>
    <w:lvl w:ilvl="7" w:tplc="B630BED4">
      <w:start w:val="1"/>
      <w:numFmt w:val="bullet"/>
      <w:lvlText w:val="o"/>
      <w:lvlJc w:val="left"/>
      <w:pPr>
        <w:ind w:left="5760" w:hanging="360"/>
      </w:pPr>
      <w:rPr>
        <w:rFonts w:ascii="Courier New" w:hAnsi="Courier New" w:hint="default"/>
      </w:rPr>
    </w:lvl>
    <w:lvl w:ilvl="8" w:tplc="82B830E0">
      <w:start w:val="1"/>
      <w:numFmt w:val="bullet"/>
      <w:lvlText w:val=""/>
      <w:lvlJc w:val="left"/>
      <w:pPr>
        <w:ind w:left="6480" w:hanging="360"/>
      </w:pPr>
      <w:rPr>
        <w:rFonts w:ascii="Wingdings" w:hAnsi="Wingdings" w:hint="default"/>
      </w:rPr>
    </w:lvl>
  </w:abstractNum>
  <w:abstractNum w:abstractNumId="4" w15:restartNumberingAfterBreak="0">
    <w:nsid w:val="1A5017FF"/>
    <w:multiLevelType w:val="multilevel"/>
    <w:tmpl w:val="85E658B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1C2F7513"/>
    <w:multiLevelType w:val="multilevel"/>
    <w:tmpl w:val="1C2F7513"/>
    <w:lvl w:ilvl="0">
      <w:start w:val="1"/>
      <w:numFmt w:val="upperLetter"/>
      <w:lvlText w:val="%1."/>
      <w:lvlJc w:val="left"/>
      <w:pPr>
        <w:ind w:left="567"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25BB3ED5"/>
    <w:multiLevelType w:val="multilevel"/>
    <w:tmpl w:val="25BB3ED5"/>
    <w:lvl w:ilvl="0">
      <w:start w:val="1"/>
      <w:numFmt w:val="bullet"/>
      <w:lvlText w:val="-"/>
      <w:lvlJc w:val="left"/>
      <w:pPr>
        <w:ind w:left="720" w:hanging="360"/>
      </w:pPr>
      <w:rPr>
        <w:rFonts w:ascii="Aptos" w:hAnsi="Apto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8D825CC"/>
    <w:multiLevelType w:val="hybridMultilevel"/>
    <w:tmpl w:val="DF44B730"/>
    <w:lvl w:ilvl="0" w:tplc="0807000F">
      <w:start w:val="1"/>
      <w:numFmt w:val="decimal"/>
      <w:lvlText w:val="%1."/>
      <w:lvlJc w:val="left"/>
      <w:pPr>
        <w:ind w:left="720" w:hanging="360"/>
      </w:pPr>
    </w:lvl>
    <w:lvl w:ilvl="1" w:tplc="08070019">
      <w:start w:val="1"/>
      <w:numFmt w:val="lowerLetter"/>
      <w:lvlText w:val="%2."/>
      <w:lvlJc w:val="left"/>
      <w:pPr>
        <w:ind w:left="1440" w:hanging="360"/>
      </w:pPr>
    </w:lvl>
    <w:lvl w:ilvl="2" w:tplc="0807001B">
      <w:start w:val="1"/>
      <w:numFmt w:val="lowerRoman"/>
      <w:lvlText w:val="%3."/>
      <w:lvlJc w:val="right"/>
      <w:pPr>
        <w:ind w:left="2160" w:hanging="180"/>
      </w:pPr>
    </w:lvl>
    <w:lvl w:ilvl="3" w:tplc="0807000F">
      <w:start w:val="1"/>
      <w:numFmt w:val="decimal"/>
      <w:lvlText w:val="%4."/>
      <w:lvlJc w:val="left"/>
      <w:pPr>
        <w:ind w:left="2880" w:hanging="360"/>
      </w:pPr>
    </w:lvl>
    <w:lvl w:ilvl="4" w:tplc="08070019">
      <w:start w:val="1"/>
      <w:numFmt w:val="lowerLetter"/>
      <w:lvlText w:val="%5."/>
      <w:lvlJc w:val="left"/>
      <w:pPr>
        <w:ind w:left="3600" w:hanging="360"/>
      </w:pPr>
    </w:lvl>
    <w:lvl w:ilvl="5" w:tplc="0807001B">
      <w:start w:val="1"/>
      <w:numFmt w:val="lowerRoman"/>
      <w:lvlText w:val="%6."/>
      <w:lvlJc w:val="right"/>
      <w:pPr>
        <w:ind w:left="4320" w:hanging="180"/>
      </w:pPr>
    </w:lvl>
    <w:lvl w:ilvl="6" w:tplc="0807000F">
      <w:start w:val="1"/>
      <w:numFmt w:val="decimal"/>
      <w:lvlText w:val="%7."/>
      <w:lvlJc w:val="left"/>
      <w:pPr>
        <w:ind w:left="5040" w:hanging="360"/>
      </w:pPr>
    </w:lvl>
    <w:lvl w:ilvl="7" w:tplc="08070019">
      <w:start w:val="1"/>
      <w:numFmt w:val="lowerLetter"/>
      <w:lvlText w:val="%8."/>
      <w:lvlJc w:val="left"/>
      <w:pPr>
        <w:ind w:left="5760" w:hanging="360"/>
      </w:pPr>
    </w:lvl>
    <w:lvl w:ilvl="8" w:tplc="0807001B">
      <w:start w:val="1"/>
      <w:numFmt w:val="lowerRoman"/>
      <w:lvlText w:val="%9."/>
      <w:lvlJc w:val="right"/>
      <w:pPr>
        <w:ind w:left="6480" w:hanging="180"/>
      </w:pPr>
    </w:lvl>
  </w:abstractNum>
  <w:abstractNum w:abstractNumId="8" w15:restartNumberingAfterBreak="0">
    <w:nsid w:val="302FA014"/>
    <w:multiLevelType w:val="multilevel"/>
    <w:tmpl w:val="5D60846E"/>
    <w:lvl w:ilvl="0">
      <w:start w:val="1"/>
      <w:numFmt w:val="bullet"/>
      <w:lvlText w:val="-"/>
      <w:lvlJc w:val="left"/>
      <w:pPr>
        <w:ind w:left="720" w:hanging="360"/>
      </w:pPr>
      <w:rPr>
        <w:rFonts w:ascii="Aptos" w:hAnsi="Apto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338C367D"/>
    <w:multiLevelType w:val="hybridMultilevel"/>
    <w:tmpl w:val="614AEB58"/>
    <w:lvl w:ilvl="0" w:tplc="1004EB4C">
      <w:start w:val="15"/>
      <w:numFmt w:val="bullet"/>
      <w:lvlText w:val="-"/>
      <w:lvlJc w:val="left"/>
      <w:pPr>
        <w:ind w:left="720" w:hanging="360"/>
      </w:pPr>
      <w:rPr>
        <w:rFonts w:ascii="Arial" w:eastAsia="Yu Mincho" w:hAnsi="Arial" w:cs="Arial" w:hint="default"/>
      </w:rPr>
    </w:lvl>
    <w:lvl w:ilvl="1" w:tplc="61F2EE50">
      <w:start w:val="1"/>
      <w:numFmt w:val="bullet"/>
      <w:lvlText w:val="o"/>
      <w:lvlJc w:val="left"/>
      <w:pPr>
        <w:ind w:left="1440" w:hanging="360"/>
      </w:pPr>
      <w:rPr>
        <w:rFonts w:ascii="Courier New" w:hAnsi="Courier New" w:cs="Courier New" w:hint="default"/>
      </w:rPr>
    </w:lvl>
    <w:lvl w:ilvl="2" w:tplc="36220710">
      <w:start w:val="1"/>
      <w:numFmt w:val="bullet"/>
      <w:lvlText w:val=""/>
      <w:lvlJc w:val="left"/>
      <w:pPr>
        <w:ind w:left="2160" w:hanging="360"/>
      </w:pPr>
      <w:rPr>
        <w:rFonts w:ascii="Wingdings" w:hAnsi="Wingdings" w:hint="default"/>
      </w:rPr>
    </w:lvl>
    <w:lvl w:ilvl="3" w:tplc="3C6C4F2C">
      <w:start w:val="1"/>
      <w:numFmt w:val="bullet"/>
      <w:lvlText w:val=""/>
      <w:lvlJc w:val="left"/>
      <w:pPr>
        <w:ind w:left="2880" w:hanging="360"/>
      </w:pPr>
      <w:rPr>
        <w:rFonts w:ascii="Symbol" w:hAnsi="Symbol" w:hint="default"/>
      </w:rPr>
    </w:lvl>
    <w:lvl w:ilvl="4" w:tplc="C63ECD0E">
      <w:start w:val="1"/>
      <w:numFmt w:val="bullet"/>
      <w:lvlText w:val="o"/>
      <w:lvlJc w:val="left"/>
      <w:pPr>
        <w:ind w:left="3600" w:hanging="360"/>
      </w:pPr>
      <w:rPr>
        <w:rFonts w:ascii="Courier New" w:hAnsi="Courier New" w:cs="Courier New" w:hint="default"/>
      </w:rPr>
    </w:lvl>
    <w:lvl w:ilvl="5" w:tplc="2FFC403C">
      <w:start w:val="1"/>
      <w:numFmt w:val="bullet"/>
      <w:lvlText w:val=""/>
      <w:lvlJc w:val="left"/>
      <w:pPr>
        <w:ind w:left="4320" w:hanging="360"/>
      </w:pPr>
      <w:rPr>
        <w:rFonts w:ascii="Wingdings" w:hAnsi="Wingdings" w:hint="default"/>
      </w:rPr>
    </w:lvl>
    <w:lvl w:ilvl="6" w:tplc="C0E23E5E">
      <w:start w:val="1"/>
      <w:numFmt w:val="bullet"/>
      <w:lvlText w:val=""/>
      <w:lvlJc w:val="left"/>
      <w:pPr>
        <w:ind w:left="5040" w:hanging="360"/>
      </w:pPr>
      <w:rPr>
        <w:rFonts w:ascii="Symbol" w:hAnsi="Symbol" w:hint="default"/>
      </w:rPr>
    </w:lvl>
    <w:lvl w:ilvl="7" w:tplc="29D680A0">
      <w:start w:val="1"/>
      <w:numFmt w:val="bullet"/>
      <w:lvlText w:val="o"/>
      <w:lvlJc w:val="left"/>
      <w:pPr>
        <w:ind w:left="5760" w:hanging="360"/>
      </w:pPr>
      <w:rPr>
        <w:rFonts w:ascii="Courier New" w:hAnsi="Courier New" w:cs="Courier New" w:hint="default"/>
      </w:rPr>
    </w:lvl>
    <w:lvl w:ilvl="8" w:tplc="0DCA68FA">
      <w:start w:val="1"/>
      <w:numFmt w:val="bullet"/>
      <w:lvlText w:val=""/>
      <w:lvlJc w:val="left"/>
      <w:pPr>
        <w:ind w:left="6480" w:hanging="360"/>
      </w:pPr>
      <w:rPr>
        <w:rFonts w:ascii="Wingdings" w:hAnsi="Wingdings" w:hint="default"/>
      </w:rPr>
    </w:lvl>
  </w:abstractNum>
  <w:abstractNum w:abstractNumId="10" w15:restartNumberingAfterBreak="0">
    <w:nsid w:val="35C32C62"/>
    <w:multiLevelType w:val="hybridMultilevel"/>
    <w:tmpl w:val="F27291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6064AD2"/>
    <w:multiLevelType w:val="hybridMultilevel"/>
    <w:tmpl w:val="908AA6C2"/>
    <w:lvl w:ilvl="0" w:tplc="E35A94D8">
      <w:start w:val="1"/>
      <w:numFmt w:val="decimal"/>
      <w:lvlText w:val="%1."/>
      <w:lvlJc w:val="left"/>
      <w:pPr>
        <w:ind w:left="720" w:hanging="360"/>
      </w:pPr>
    </w:lvl>
    <w:lvl w:ilvl="1" w:tplc="99AE394A">
      <w:start w:val="1"/>
      <w:numFmt w:val="bullet"/>
      <w:lvlText w:val="o"/>
      <w:lvlJc w:val="left"/>
      <w:pPr>
        <w:ind w:left="1440" w:hanging="360"/>
      </w:pPr>
      <w:rPr>
        <w:rFonts w:ascii="Courier New" w:hAnsi="Courier New" w:hint="default"/>
      </w:rPr>
    </w:lvl>
    <w:lvl w:ilvl="2" w:tplc="31A605F0">
      <w:start w:val="1"/>
      <w:numFmt w:val="bullet"/>
      <w:lvlText w:val=""/>
      <w:lvlJc w:val="left"/>
      <w:pPr>
        <w:ind w:left="2160" w:hanging="360"/>
      </w:pPr>
      <w:rPr>
        <w:rFonts w:ascii="Wingdings" w:hAnsi="Wingdings" w:hint="default"/>
      </w:rPr>
    </w:lvl>
    <w:lvl w:ilvl="3" w:tplc="3AC89EF0">
      <w:start w:val="1"/>
      <w:numFmt w:val="bullet"/>
      <w:lvlText w:val=""/>
      <w:lvlJc w:val="left"/>
      <w:pPr>
        <w:ind w:left="2880" w:hanging="360"/>
      </w:pPr>
      <w:rPr>
        <w:rFonts w:ascii="Symbol" w:hAnsi="Symbol" w:hint="default"/>
      </w:rPr>
    </w:lvl>
    <w:lvl w:ilvl="4" w:tplc="E8A0EDF0">
      <w:start w:val="1"/>
      <w:numFmt w:val="bullet"/>
      <w:lvlText w:val="o"/>
      <w:lvlJc w:val="left"/>
      <w:pPr>
        <w:ind w:left="3600" w:hanging="360"/>
      </w:pPr>
      <w:rPr>
        <w:rFonts w:ascii="Courier New" w:hAnsi="Courier New" w:hint="default"/>
      </w:rPr>
    </w:lvl>
    <w:lvl w:ilvl="5" w:tplc="A97A47F2">
      <w:start w:val="1"/>
      <w:numFmt w:val="bullet"/>
      <w:lvlText w:val=""/>
      <w:lvlJc w:val="left"/>
      <w:pPr>
        <w:ind w:left="4320" w:hanging="360"/>
      </w:pPr>
      <w:rPr>
        <w:rFonts w:ascii="Wingdings" w:hAnsi="Wingdings" w:hint="default"/>
      </w:rPr>
    </w:lvl>
    <w:lvl w:ilvl="6" w:tplc="9A924702">
      <w:start w:val="1"/>
      <w:numFmt w:val="bullet"/>
      <w:lvlText w:val=""/>
      <w:lvlJc w:val="left"/>
      <w:pPr>
        <w:ind w:left="5040" w:hanging="360"/>
      </w:pPr>
      <w:rPr>
        <w:rFonts w:ascii="Symbol" w:hAnsi="Symbol" w:hint="default"/>
      </w:rPr>
    </w:lvl>
    <w:lvl w:ilvl="7" w:tplc="9858ED0E">
      <w:start w:val="1"/>
      <w:numFmt w:val="bullet"/>
      <w:lvlText w:val="o"/>
      <w:lvlJc w:val="left"/>
      <w:pPr>
        <w:ind w:left="5760" w:hanging="360"/>
      </w:pPr>
      <w:rPr>
        <w:rFonts w:ascii="Courier New" w:hAnsi="Courier New" w:hint="default"/>
      </w:rPr>
    </w:lvl>
    <w:lvl w:ilvl="8" w:tplc="C1C4EE86">
      <w:start w:val="1"/>
      <w:numFmt w:val="bullet"/>
      <w:lvlText w:val=""/>
      <w:lvlJc w:val="left"/>
      <w:pPr>
        <w:ind w:left="6480" w:hanging="360"/>
      </w:pPr>
      <w:rPr>
        <w:rFonts w:ascii="Wingdings" w:hAnsi="Wingdings" w:hint="default"/>
      </w:rPr>
    </w:lvl>
  </w:abstractNum>
  <w:abstractNum w:abstractNumId="12" w15:restartNumberingAfterBreak="0">
    <w:nsid w:val="3EE51E84"/>
    <w:multiLevelType w:val="multilevel"/>
    <w:tmpl w:val="3EE51E84"/>
    <w:lvl w:ilvl="0">
      <w:start w:val="1"/>
      <w:numFmt w:val="decimal"/>
      <w:lvlText w:val="%1."/>
      <w:lvlJc w:val="left"/>
      <w:pPr>
        <w:ind w:left="340" w:hanging="340"/>
      </w:pPr>
      <w:rPr>
        <w:rFonts w:hint="default"/>
      </w:rPr>
    </w:lvl>
    <w:lvl w:ilvl="1">
      <w:start w:val="1"/>
      <w:numFmt w:val="decimal"/>
      <w:isLgl/>
      <w:lvlText w:val="%1.%2"/>
      <w:lvlJc w:val="left"/>
      <w:pPr>
        <w:ind w:left="0" w:firstLine="0"/>
      </w:pPr>
      <w:rPr>
        <w:rFonts w:hint="default"/>
        <w:b w:val="0"/>
        <w:bCs/>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3" w15:restartNumberingAfterBreak="0">
    <w:nsid w:val="45A74B67"/>
    <w:multiLevelType w:val="multilevel"/>
    <w:tmpl w:val="26807B02"/>
    <w:lvl w:ilvl="0">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4" w15:restartNumberingAfterBreak="0">
    <w:nsid w:val="45BB670B"/>
    <w:multiLevelType w:val="hybridMultilevel"/>
    <w:tmpl w:val="3A042352"/>
    <w:lvl w:ilvl="0" w:tplc="6046BA24">
      <w:start w:val="1"/>
      <w:numFmt w:val="decimal"/>
      <w:lvlText w:val="%1."/>
      <w:lvlJc w:val="left"/>
      <w:pPr>
        <w:ind w:left="720" w:hanging="360"/>
      </w:pPr>
    </w:lvl>
    <w:lvl w:ilvl="1" w:tplc="7B96AAC8">
      <w:start w:val="1"/>
      <w:numFmt w:val="lowerLetter"/>
      <w:lvlText w:val="%2."/>
      <w:lvlJc w:val="left"/>
      <w:pPr>
        <w:ind w:left="1440" w:hanging="360"/>
      </w:pPr>
    </w:lvl>
    <w:lvl w:ilvl="2" w:tplc="6090ED0E">
      <w:start w:val="1"/>
      <w:numFmt w:val="lowerRoman"/>
      <w:lvlText w:val="%3."/>
      <w:lvlJc w:val="right"/>
      <w:pPr>
        <w:ind w:left="2160" w:hanging="180"/>
      </w:pPr>
    </w:lvl>
    <w:lvl w:ilvl="3" w:tplc="EFF2B230">
      <w:start w:val="1"/>
      <w:numFmt w:val="decimal"/>
      <w:lvlText w:val="%4."/>
      <w:lvlJc w:val="left"/>
      <w:pPr>
        <w:ind w:left="2880" w:hanging="360"/>
      </w:pPr>
    </w:lvl>
    <w:lvl w:ilvl="4" w:tplc="5220F3AE">
      <w:start w:val="1"/>
      <w:numFmt w:val="lowerLetter"/>
      <w:lvlText w:val="%5."/>
      <w:lvlJc w:val="left"/>
      <w:pPr>
        <w:ind w:left="3600" w:hanging="360"/>
      </w:pPr>
    </w:lvl>
    <w:lvl w:ilvl="5" w:tplc="FC889B70">
      <w:start w:val="1"/>
      <w:numFmt w:val="lowerRoman"/>
      <w:lvlText w:val="%6."/>
      <w:lvlJc w:val="right"/>
      <w:pPr>
        <w:ind w:left="4320" w:hanging="180"/>
      </w:pPr>
    </w:lvl>
    <w:lvl w:ilvl="6" w:tplc="81CE6052">
      <w:start w:val="1"/>
      <w:numFmt w:val="decimal"/>
      <w:lvlText w:val="%7."/>
      <w:lvlJc w:val="left"/>
      <w:pPr>
        <w:ind w:left="5040" w:hanging="360"/>
      </w:pPr>
    </w:lvl>
    <w:lvl w:ilvl="7" w:tplc="95D0B75C">
      <w:start w:val="1"/>
      <w:numFmt w:val="lowerLetter"/>
      <w:lvlText w:val="%8."/>
      <w:lvlJc w:val="left"/>
      <w:pPr>
        <w:ind w:left="5760" w:hanging="360"/>
      </w:pPr>
    </w:lvl>
    <w:lvl w:ilvl="8" w:tplc="F5DA5EF6">
      <w:start w:val="1"/>
      <w:numFmt w:val="lowerRoman"/>
      <w:lvlText w:val="%9."/>
      <w:lvlJc w:val="right"/>
      <w:pPr>
        <w:ind w:left="6480" w:hanging="180"/>
      </w:pPr>
    </w:lvl>
  </w:abstractNum>
  <w:abstractNum w:abstractNumId="15" w15:restartNumberingAfterBreak="0">
    <w:nsid w:val="49EF2357"/>
    <w:multiLevelType w:val="multilevel"/>
    <w:tmpl w:val="49EF2357"/>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4C9C54ED"/>
    <w:multiLevelType w:val="hybridMultilevel"/>
    <w:tmpl w:val="DF44B73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7" w15:restartNumberingAfterBreak="0">
    <w:nsid w:val="560C571E"/>
    <w:multiLevelType w:val="hybridMultilevel"/>
    <w:tmpl w:val="8710F818"/>
    <w:lvl w:ilvl="0" w:tplc="3F667964">
      <w:start w:val="1"/>
      <w:numFmt w:val="bullet"/>
      <w:lvlText w:val="§"/>
      <w:lvlJc w:val="left"/>
      <w:pPr>
        <w:ind w:left="720" w:hanging="360"/>
      </w:pPr>
      <w:rPr>
        <w:rFonts w:ascii="Wingdings" w:hAnsi="Wingdings" w:hint="default"/>
      </w:rPr>
    </w:lvl>
    <w:lvl w:ilvl="1" w:tplc="6B00607E">
      <w:start w:val="1"/>
      <w:numFmt w:val="bullet"/>
      <w:lvlText w:val="o"/>
      <w:lvlJc w:val="left"/>
      <w:pPr>
        <w:ind w:left="1440" w:hanging="360"/>
      </w:pPr>
      <w:rPr>
        <w:rFonts w:ascii="Courier New" w:hAnsi="Courier New" w:hint="default"/>
      </w:rPr>
    </w:lvl>
    <w:lvl w:ilvl="2" w:tplc="1734999C">
      <w:start w:val="1"/>
      <w:numFmt w:val="bullet"/>
      <w:lvlText w:val=""/>
      <w:lvlJc w:val="left"/>
      <w:pPr>
        <w:ind w:left="2160" w:hanging="360"/>
      </w:pPr>
      <w:rPr>
        <w:rFonts w:ascii="Wingdings" w:hAnsi="Wingdings" w:hint="default"/>
      </w:rPr>
    </w:lvl>
    <w:lvl w:ilvl="3" w:tplc="94249F9E">
      <w:start w:val="1"/>
      <w:numFmt w:val="bullet"/>
      <w:lvlText w:val=""/>
      <w:lvlJc w:val="left"/>
      <w:pPr>
        <w:ind w:left="2880" w:hanging="360"/>
      </w:pPr>
      <w:rPr>
        <w:rFonts w:ascii="Symbol" w:hAnsi="Symbol" w:hint="default"/>
      </w:rPr>
    </w:lvl>
    <w:lvl w:ilvl="4" w:tplc="DD7C9028">
      <w:start w:val="1"/>
      <w:numFmt w:val="bullet"/>
      <w:lvlText w:val="o"/>
      <w:lvlJc w:val="left"/>
      <w:pPr>
        <w:ind w:left="3600" w:hanging="360"/>
      </w:pPr>
      <w:rPr>
        <w:rFonts w:ascii="Courier New" w:hAnsi="Courier New" w:hint="default"/>
      </w:rPr>
    </w:lvl>
    <w:lvl w:ilvl="5" w:tplc="DC54FEF0">
      <w:start w:val="1"/>
      <w:numFmt w:val="bullet"/>
      <w:lvlText w:val=""/>
      <w:lvlJc w:val="left"/>
      <w:pPr>
        <w:ind w:left="4320" w:hanging="360"/>
      </w:pPr>
      <w:rPr>
        <w:rFonts w:ascii="Wingdings" w:hAnsi="Wingdings" w:hint="default"/>
      </w:rPr>
    </w:lvl>
    <w:lvl w:ilvl="6" w:tplc="D1EA7B24">
      <w:start w:val="1"/>
      <w:numFmt w:val="bullet"/>
      <w:lvlText w:val=""/>
      <w:lvlJc w:val="left"/>
      <w:pPr>
        <w:ind w:left="5040" w:hanging="360"/>
      </w:pPr>
      <w:rPr>
        <w:rFonts w:ascii="Symbol" w:hAnsi="Symbol" w:hint="default"/>
      </w:rPr>
    </w:lvl>
    <w:lvl w:ilvl="7" w:tplc="847AC31E">
      <w:start w:val="1"/>
      <w:numFmt w:val="bullet"/>
      <w:lvlText w:val="o"/>
      <w:lvlJc w:val="left"/>
      <w:pPr>
        <w:ind w:left="5760" w:hanging="360"/>
      </w:pPr>
      <w:rPr>
        <w:rFonts w:ascii="Courier New" w:hAnsi="Courier New" w:hint="default"/>
      </w:rPr>
    </w:lvl>
    <w:lvl w:ilvl="8" w:tplc="0290A256">
      <w:start w:val="1"/>
      <w:numFmt w:val="bullet"/>
      <w:lvlText w:val=""/>
      <w:lvlJc w:val="left"/>
      <w:pPr>
        <w:ind w:left="6480" w:hanging="360"/>
      </w:pPr>
      <w:rPr>
        <w:rFonts w:ascii="Wingdings" w:hAnsi="Wingdings" w:hint="default"/>
      </w:rPr>
    </w:lvl>
  </w:abstractNum>
  <w:abstractNum w:abstractNumId="18" w15:restartNumberingAfterBreak="0">
    <w:nsid w:val="7E514086"/>
    <w:multiLevelType w:val="multilevel"/>
    <w:tmpl w:val="7E514086"/>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7F1B0D88"/>
    <w:multiLevelType w:val="multilevel"/>
    <w:tmpl w:val="7F1B0D88"/>
    <w:lvl w:ilvl="0">
      <w:start w:val="1"/>
      <w:numFmt w:val="upperLetter"/>
      <w:lvlText w:val="%1."/>
      <w:lvlJc w:val="left"/>
      <w:pPr>
        <w:tabs>
          <w:tab w:val="left" w:pos="0"/>
        </w:tabs>
        <w:ind w:left="360" w:hanging="360"/>
      </w:pPr>
    </w:lvl>
    <w:lvl w:ilvl="1">
      <w:start w:val="1"/>
      <w:numFmt w:val="upperLetter"/>
      <w:lvlText w:val="%2."/>
      <w:lvlJc w:val="left"/>
      <w:pPr>
        <w:tabs>
          <w:tab w:val="left" w:pos="0"/>
        </w:tabs>
        <w:ind w:left="1080" w:hanging="360"/>
      </w:pPr>
    </w:lvl>
    <w:lvl w:ilvl="2">
      <w:start w:val="1"/>
      <w:numFmt w:val="lowerRoman"/>
      <w:lvlText w:val="%3."/>
      <w:lvlJc w:val="right"/>
      <w:pPr>
        <w:tabs>
          <w:tab w:val="left" w:pos="0"/>
        </w:tabs>
        <w:ind w:left="1800" w:hanging="180"/>
      </w:pPr>
    </w:lvl>
    <w:lvl w:ilvl="3">
      <w:start w:val="1"/>
      <w:numFmt w:val="decimal"/>
      <w:lvlText w:val="%4."/>
      <w:lvlJc w:val="left"/>
      <w:pPr>
        <w:tabs>
          <w:tab w:val="left" w:pos="0"/>
        </w:tabs>
        <w:ind w:left="2520" w:hanging="360"/>
      </w:pPr>
    </w:lvl>
    <w:lvl w:ilvl="4">
      <w:start w:val="1"/>
      <w:numFmt w:val="lowerLetter"/>
      <w:lvlText w:val="%5."/>
      <w:lvlJc w:val="left"/>
      <w:pPr>
        <w:tabs>
          <w:tab w:val="left" w:pos="0"/>
        </w:tabs>
        <w:ind w:left="3240" w:hanging="360"/>
      </w:pPr>
    </w:lvl>
    <w:lvl w:ilvl="5">
      <w:start w:val="1"/>
      <w:numFmt w:val="lowerRoman"/>
      <w:lvlText w:val="%6."/>
      <w:lvlJc w:val="right"/>
      <w:pPr>
        <w:tabs>
          <w:tab w:val="left" w:pos="0"/>
        </w:tabs>
        <w:ind w:left="3960" w:hanging="180"/>
      </w:pPr>
    </w:lvl>
    <w:lvl w:ilvl="6">
      <w:start w:val="1"/>
      <w:numFmt w:val="decimal"/>
      <w:lvlText w:val="%7."/>
      <w:lvlJc w:val="left"/>
      <w:pPr>
        <w:tabs>
          <w:tab w:val="left" w:pos="0"/>
        </w:tabs>
        <w:ind w:left="4680" w:hanging="360"/>
      </w:pPr>
    </w:lvl>
    <w:lvl w:ilvl="7">
      <w:start w:val="1"/>
      <w:numFmt w:val="lowerLetter"/>
      <w:lvlText w:val="%8."/>
      <w:lvlJc w:val="left"/>
      <w:pPr>
        <w:tabs>
          <w:tab w:val="left" w:pos="0"/>
        </w:tabs>
        <w:ind w:left="5400" w:hanging="360"/>
      </w:pPr>
    </w:lvl>
    <w:lvl w:ilvl="8">
      <w:start w:val="1"/>
      <w:numFmt w:val="lowerRoman"/>
      <w:lvlText w:val="%9."/>
      <w:lvlJc w:val="right"/>
      <w:pPr>
        <w:tabs>
          <w:tab w:val="left" w:pos="0"/>
        </w:tabs>
        <w:ind w:left="6120" w:hanging="180"/>
      </w:pPr>
    </w:lvl>
  </w:abstractNum>
  <w:num w:numId="1" w16cid:durableId="1585451542">
    <w:abstractNumId w:val="14"/>
  </w:num>
  <w:num w:numId="2" w16cid:durableId="1340430451">
    <w:abstractNumId w:val="11"/>
  </w:num>
  <w:num w:numId="3" w16cid:durableId="1421610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503868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992908039">
    <w:abstractNumId w:val="9"/>
  </w:num>
  <w:num w:numId="6" w16cid:durableId="978917282">
    <w:abstractNumId w:val="0"/>
  </w:num>
  <w:num w:numId="7" w16cid:durableId="836653544">
    <w:abstractNumId w:val="12"/>
  </w:num>
  <w:num w:numId="8" w16cid:durableId="1743873977">
    <w:abstractNumId w:val="1"/>
  </w:num>
  <w:num w:numId="9" w16cid:durableId="896739555">
    <w:abstractNumId w:val="19"/>
  </w:num>
  <w:num w:numId="10" w16cid:durableId="107626347">
    <w:abstractNumId w:val="5"/>
  </w:num>
  <w:num w:numId="11" w16cid:durableId="929243180">
    <w:abstractNumId w:val="15"/>
  </w:num>
  <w:num w:numId="12" w16cid:durableId="1847864569">
    <w:abstractNumId w:val="18"/>
  </w:num>
  <w:num w:numId="13" w16cid:durableId="2074160066">
    <w:abstractNumId w:val="6"/>
  </w:num>
  <w:num w:numId="14" w16cid:durableId="1442534841">
    <w:abstractNumId w:val="2"/>
  </w:num>
  <w:num w:numId="15" w16cid:durableId="999429689">
    <w:abstractNumId w:val="10"/>
  </w:num>
  <w:num w:numId="16" w16cid:durableId="2057197935">
    <w:abstractNumId w:val="7"/>
  </w:num>
  <w:num w:numId="17" w16cid:durableId="1616210776">
    <w:abstractNumId w:val="16"/>
  </w:num>
  <w:num w:numId="18" w16cid:durableId="213851464">
    <w:abstractNumId w:val="13"/>
  </w:num>
  <w:num w:numId="19" w16cid:durableId="38014919">
    <w:abstractNumId w:val="17"/>
  </w:num>
  <w:num w:numId="20" w16cid:durableId="378166136">
    <w:abstractNumId w:val="3"/>
  </w:num>
  <w:num w:numId="21" w16cid:durableId="131433220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25F9"/>
    <w:rsid w:val="000022B6"/>
    <w:rsid w:val="000073E4"/>
    <w:rsid w:val="00014C9F"/>
    <w:rsid w:val="00016B59"/>
    <w:rsid w:val="00030F6C"/>
    <w:rsid w:val="00032E88"/>
    <w:rsid w:val="00035905"/>
    <w:rsid w:val="00037B91"/>
    <w:rsid w:val="00042906"/>
    <w:rsid w:val="00044D63"/>
    <w:rsid w:val="00050EB1"/>
    <w:rsid w:val="00051F32"/>
    <w:rsid w:val="000522A9"/>
    <w:rsid w:val="00054432"/>
    <w:rsid w:val="00077194"/>
    <w:rsid w:val="000863FE"/>
    <w:rsid w:val="00093770"/>
    <w:rsid w:val="00095B7F"/>
    <w:rsid w:val="000A45F6"/>
    <w:rsid w:val="000A594C"/>
    <w:rsid w:val="000A6018"/>
    <w:rsid w:val="000B282E"/>
    <w:rsid w:val="000B4BE1"/>
    <w:rsid w:val="000C2D58"/>
    <w:rsid w:val="000C5B03"/>
    <w:rsid w:val="000C72BE"/>
    <w:rsid w:val="000D0410"/>
    <w:rsid w:val="000D281A"/>
    <w:rsid w:val="000D50C2"/>
    <w:rsid w:val="000D5CD9"/>
    <w:rsid w:val="000D6379"/>
    <w:rsid w:val="000E1F6A"/>
    <w:rsid w:val="000F22B3"/>
    <w:rsid w:val="000F3AA2"/>
    <w:rsid w:val="000F4243"/>
    <w:rsid w:val="000F447D"/>
    <w:rsid w:val="000F563F"/>
    <w:rsid w:val="00100B19"/>
    <w:rsid w:val="00101948"/>
    <w:rsid w:val="00102180"/>
    <w:rsid w:val="0010218A"/>
    <w:rsid w:val="001038AF"/>
    <w:rsid w:val="00105C79"/>
    <w:rsid w:val="001064DC"/>
    <w:rsid w:val="00106DEB"/>
    <w:rsid w:val="001076C1"/>
    <w:rsid w:val="00107A3D"/>
    <w:rsid w:val="00107ED4"/>
    <w:rsid w:val="001120DF"/>
    <w:rsid w:val="00112D87"/>
    <w:rsid w:val="001146FD"/>
    <w:rsid w:val="0012435D"/>
    <w:rsid w:val="001254F9"/>
    <w:rsid w:val="00127674"/>
    <w:rsid w:val="001315B5"/>
    <w:rsid w:val="00137CEC"/>
    <w:rsid w:val="0014012E"/>
    <w:rsid w:val="00140645"/>
    <w:rsid w:val="001457D2"/>
    <w:rsid w:val="0014797E"/>
    <w:rsid w:val="00151820"/>
    <w:rsid w:val="00156844"/>
    <w:rsid w:val="0017779D"/>
    <w:rsid w:val="00177D26"/>
    <w:rsid w:val="00182EB9"/>
    <w:rsid w:val="0018335F"/>
    <w:rsid w:val="00183713"/>
    <w:rsid w:val="00191D2A"/>
    <w:rsid w:val="00196CB2"/>
    <w:rsid w:val="001A1CF2"/>
    <w:rsid w:val="001A4CCA"/>
    <w:rsid w:val="001B0438"/>
    <w:rsid w:val="001B19F4"/>
    <w:rsid w:val="001B2159"/>
    <w:rsid w:val="001B2AE7"/>
    <w:rsid w:val="001B714D"/>
    <w:rsid w:val="001B782A"/>
    <w:rsid w:val="001C28A9"/>
    <w:rsid w:val="001C388D"/>
    <w:rsid w:val="001C426A"/>
    <w:rsid w:val="001C6A42"/>
    <w:rsid w:val="001D2532"/>
    <w:rsid w:val="001E1906"/>
    <w:rsid w:val="001E1E1D"/>
    <w:rsid w:val="001E25F9"/>
    <w:rsid w:val="001E2640"/>
    <w:rsid w:val="0020176A"/>
    <w:rsid w:val="00203438"/>
    <w:rsid w:val="00204751"/>
    <w:rsid w:val="002059E1"/>
    <w:rsid w:val="00206B7E"/>
    <w:rsid w:val="002103A1"/>
    <w:rsid w:val="00211443"/>
    <w:rsid w:val="002127CD"/>
    <w:rsid w:val="00213F62"/>
    <w:rsid w:val="0021786E"/>
    <w:rsid w:val="00217DBD"/>
    <w:rsid w:val="00221EAE"/>
    <w:rsid w:val="00221F4B"/>
    <w:rsid w:val="00233C77"/>
    <w:rsid w:val="00241DD3"/>
    <w:rsid w:val="00243956"/>
    <w:rsid w:val="00244925"/>
    <w:rsid w:val="00246BCB"/>
    <w:rsid w:val="00250D2F"/>
    <w:rsid w:val="002534FE"/>
    <w:rsid w:val="002543C1"/>
    <w:rsid w:val="00261203"/>
    <w:rsid w:val="00261CA9"/>
    <w:rsid w:val="002633D9"/>
    <w:rsid w:val="002676CC"/>
    <w:rsid w:val="002721E2"/>
    <w:rsid w:val="002819DC"/>
    <w:rsid w:val="002834D6"/>
    <w:rsid w:val="00283FDC"/>
    <w:rsid w:val="002845F3"/>
    <w:rsid w:val="00284E55"/>
    <w:rsid w:val="0028793C"/>
    <w:rsid w:val="002A1812"/>
    <w:rsid w:val="002A49A6"/>
    <w:rsid w:val="002A743F"/>
    <w:rsid w:val="002B316C"/>
    <w:rsid w:val="002B3A8B"/>
    <w:rsid w:val="002B40D7"/>
    <w:rsid w:val="002B5109"/>
    <w:rsid w:val="002C3BD7"/>
    <w:rsid w:val="002D3DED"/>
    <w:rsid w:val="002D4861"/>
    <w:rsid w:val="002D7ED8"/>
    <w:rsid w:val="002E2AC6"/>
    <w:rsid w:val="002E3C57"/>
    <w:rsid w:val="002E4AC0"/>
    <w:rsid w:val="002F43F7"/>
    <w:rsid w:val="002F47D5"/>
    <w:rsid w:val="002F5F59"/>
    <w:rsid w:val="002F71BF"/>
    <w:rsid w:val="00301695"/>
    <w:rsid w:val="003040F6"/>
    <w:rsid w:val="00305B31"/>
    <w:rsid w:val="00316614"/>
    <w:rsid w:val="00316B7B"/>
    <w:rsid w:val="0032281D"/>
    <w:rsid w:val="00324D92"/>
    <w:rsid w:val="00327AB0"/>
    <w:rsid w:val="00327B5E"/>
    <w:rsid w:val="003316E7"/>
    <w:rsid w:val="003370B2"/>
    <w:rsid w:val="00341B77"/>
    <w:rsid w:val="003462DA"/>
    <w:rsid w:val="00347E16"/>
    <w:rsid w:val="00356BF5"/>
    <w:rsid w:val="0036122D"/>
    <w:rsid w:val="00363829"/>
    <w:rsid w:val="00364CA3"/>
    <w:rsid w:val="003668D2"/>
    <w:rsid w:val="00367C3F"/>
    <w:rsid w:val="00375683"/>
    <w:rsid w:val="00376C31"/>
    <w:rsid w:val="0038149D"/>
    <w:rsid w:val="00382F44"/>
    <w:rsid w:val="00394CBE"/>
    <w:rsid w:val="00395355"/>
    <w:rsid w:val="003A57CF"/>
    <w:rsid w:val="003A66C9"/>
    <w:rsid w:val="003B0098"/>
    <w:rsid w:val="003B00AD"/>
    <w:rsid w:val="003B2B8D"/>
    <w:rsid w:val="003B4019"/>
    <w:rsid w:val="003B570B"/>
    <w:rsid w:val="003B6F60"/>
    <w:rsid w:val="003C05CA"/>
    <w:rsid w:val="003C41E5"/>
    <w:rsid w:val="003C6F19"/>
    <w:rsid w:val="003D0155"/>
    <w:rsid w:val="003D534D"/>
    <w:rsid w:val="003D69B0"/>
    <w:rsid w:val="003D77F4"/>
    <w:rsid w:val="003E23DC"/>
    <w:rsid w:val="003F35FD"/>
    <w:rsid w:val="003F3BEC"/>
    <w:rsid w:val="003F43E5"/>
    <w:rsid w:val="00400076"/>
    <w:rsid w:val="004029D0"/>
    <w:rsid w:val="004064DB"/>
    <w:rsid w:val="00414564"/>
    <w:rsid w:val="004213B3"/>
    <w:rsid w:val="004269AA"/>
    <w:rsid w:val="00426B14"/>
    <w:rsid w:val="00432922"/>
    <w:rsid w:val="00445F93"/>
    <w:rsid w:val="00466399"/>
    <w:rsid w:val="004740D4"/>
    <w:rsid w:val="00474AAB"/>
    <w:rsid w:val="00475F70"/>
    <w:rsid w:val="00484C8D"/>
    <w:rsid w:val="004861CA"/>
    <w:rsid w:val="004916E2"/>
    <w:rsid w:val="00491A3F"/>
    <w:rsid w:val="00494209"/>
    <w:rsid w:val="004B0732"/>
    <w:rsid w:val="004B15BB"/>
    <w:rsid w:val="004B7852"/>
    <w:rsid w:val="004C004B"/>
    <w:rsid w:val="004E3015"/>
    <w:rsid w:val="004E6EB0"/>
    <w:rsid w:val="004E7E0C"/>
    <w:rsid w:val="004F0F45"/>
    <w:rsid w:val="00504E1F"/>
    <w:rsid w:val="005110D2"/>
    <w:rsid w:val="00513086"/>
    <w:rsid w:val="00515B9E"/>
    <w:rsid w:val="00515D15"/>
    <w:rsid w:val="00520B63"/>
    <w:rsid w:val="00521461"/>
    <w:rsid w:val="005237A3"/>
    <w:rsid w:val="00525655"/>
    <w:rsid w:val="0053549C"/>
    <w:rsid w:val="005355DB"/>
    <w:rsid w:val="00540604"/>
    <w:rsid w:val="0054151C"/>
    <w:rsid w:val="0054528E"/>
    <w:rsid w:val="00550490"/>
    <w:rsid w:val="0056183E"/>
    <w:rsid w:val="005652BD"/>
    <w:rsid w:val="0056610C"/>
    <w:rsid w:val="005705D2"/>
    <w:rsid w:val="0057610E"/>
    <w:rsid w:val="0057616C"/>
    <w:rsid w:val="00576994"/>
    <w:rsid w:val="005817F2"/>
    <w:rsid w:val="00585219"/>
    <w:rsid w:val="00585FF7"/>
    <w:rsid w:val="00594CDC"/>
    <w:rsid w:val="005A20CB"/>
    <w:rsid w:val="005A2FB9"/>
    <w:rsid w:val="005A3F21"/>
    <w:rsid w:val="005B175F"/>
    <w:rsid w:val="005B2C63"/>
    <w:rsid w:val="005B37AA"/>
    <w:rsid w:val="005B40B0"/>
    <w:rsid w:val="005B71FF"/>
    <w:rsid w:val="005C0048"/>
    <w:rsid w:val="005C1718"/>
    <w:rsid w:val="005C5390"/>
    <w:rsid w:val="005C7891"/>
    <w:rsid w:val="005D031B"/>
    <w:rsid w:val="005D4291"/>
    <w:rsid w:val="005D564F"/>
    <w:rsid w:val="005D76F4"/>
    <w:rsid w:val="005E0BE9"/>
    <w:rsid w:val="005E6634"/>
    <w:rsid w:val="005E7824"/>
    <w:rsid w:val="005F22FC"/>
    <w:rsid w:val="00601379"/>
    <w:rsid w:val="00602391"/>
    <w:rsid w:val="006033CB"/>
    <w:rsid w:val="00603BB2"/>
    <w:rsid w:val="006047DC"/>
    <w:rsid w:val="00605D99"/>
    <w:rsid w:val="00611CD6"/>
    <w:rsid w:val="00611EE0"/>
    <w:rsid w:val="006120DF"/>
    <w:rsid w:val="0061287B"/>
    <w:rsid w:val="00620A7C"/>
    <w:rsid w:val="0062145E"/>
    <w:rsid w:val="00622321"/>
    <w:rsid w:val="0063276A"/>
    <w:rsid w:val="00635A53"/>
    <w:rsid w:val="006375A0"/>
    <w:rsid w:val="006426C1"/>
    <w:rsid w:val="00643B2E"/>
    <w:rsid w:val="0064408A"/>
    <w:rsid w:val="00645767"/>
    <w:rsid w:val="00645AA5"/>
    <w:rsid w:val="00647494"/>
    <w:rsid w:val="00647B82"/>
    <w:rsid w:val="006547AA"/>
    <w:rsid w:val="0065522C"/>
    <w:rsid w:val="006603FD"/>
    <w:rsid w:val="00667F90"/>
    <w:rsid w:val="00670107"/>
    <w:rsid w:val="00671A18"/>
    <w:rsid w:val="00671EFB"/>
    <w:rsid w:val="00675012"/>
    <w:rsid w:val="00677627"/>
    <w:rsid w:val="00682B59"/>
    <w:rsid w:val="00690AB5"/>
    <w:rsid w:val="00692A11"/>
    <w:rsid w:val="006944F0"/>
    <w:rsid w:val="00695469"/>
    <w:rsid w:val="006A1A80"/>
    <w:rsid w:val="006A22F7"/>
    <w:rsid w:val="006B6CBC"/>
    <w:rsid w:val="006C0BE9"/>
    <w:rsid w:val="006C3B1C"/>
    <w:rsid w:val="006C4334"/>
    <w:rsid w:val="006C528B"/>
    <w:rsid w:val="006E157B"/>
    <w:rsid w:val="006E19CF"/>
    <w:rsid w:val="006E2597"/>
    <w:rsid w:val="006E6FB0"/>
    <w:rsid w:val="006F3141"/>
    <w:rsid w:val="006F52CD"/>
    <w:rsid w:val="006F71C6"/>
    <w:rsid w:val="0070056E"/>
    <w:rsid w:val="00702B50"/>
    <w:rsid w:val="007100B3"/>
    <w:rsid w:val="00710FB9"/>
    <w:rsid w:val="007207D6"/>
    <w:rsid w:val="00720A42"/>
    <w:rsid w:val="00721892"/>
    <w:rsid w:val="00731448"/>
    <w:rsid w:val="0073221E"/>
    <w:rsid w:val="007329CF"/>
    <w:rsid w:val="00733B65"/>
    <w:rsid w:val="007348B1"/>
    <w:rsid w:val="0074281C"/>
    <w:rsid w:val="0074463C"/>
    <w:rsid w:val="00757A1B"/>
    <w:rsid w:val="007623A4"/>
    <w:rsid w:val="00772ED3"/>
    <w:rsid w:val="0077633D"/>
    <w:rsid w:val="007803EE"/>
    <w:rsid w:val="00780D1C"/>
    <w:rsid w:val="00782E3A"/>
    <w:rsid w:val="0079022A"/>
    <w:rsid w:val="007A1E0D"/>
    <w:rsid w:val="007A7D41"/>
    <w:rsid w:val="007B42DD"/>
    <w:rsid w:val="007B46EE"/>
    <w:rsid w:val="007B6504"/>
    <w:rsid w:val="007B781D"/>
    <w:rsid w:val="007C14C7"/>
    <w:rsid w:val="007C166A"/>
    <w:rsid w:val="007C2DA9"/>
    <w:rsid w:val="007C55E0"/>
    <w:rsid w:val="007C73E3"/>
    <w:rsid w:val="007D6775"/>
    <w:rsid w:val="007E0829"/>
    <w:rsid w:val="007E1B21"/>
    <w:rsid w:val="007E6A00"/>
    <w:rsid w:val="007F2162"/>
    <w:rsid w:val="007F4AFC"/>
    <w:rsid w:val="007F54EF"/>
    <w:rsid w:val="007F7366"/>
    <w:rsid w:val="00804C41"/>
    <w:rsid w:val="00810235"/>
    <w:rsid w:val="00810594"/>
    <w:rsid w:val="00813228"/>
    <w:rsid w:val="00813B14"/>
    <w:rsid w:val="008155E4"/>
    <w:rsid w:val="0081786D"/>
    <w:rsid w:val="008244C5"/>
    <w:rsid w:val="008271D0"/>
    <w:rsid w:val="00830602"/>
    <w:rsid w:val="008341EC"/>
    <w:rsid w:val="00842DE5"/>
    <w:rsid w:val="00846130"/>
    <w:rsid w:val="00846B03"/>
    <w:rsid w:val="00863B82"/>
    <w:rsid w:val="00873665"/>
    <w:rsid w:val="0088194B"/>
    <w:rsid w:val="00885932"/>
    <w:rsid w:val="008A3139"/>
    <w:rsid w:val="008A7C9A"/>
    <w:rsid w:val="008B372F"/>
    <w:rsid w:val="008B6A6D"/>
    <w:rsid w:val="008C0F16"/>
    <w:rsid w:val="008C21B1"/>
    <w:rsid w:val="008C26D8"/>
    <w:rsid w:val="008C352B"/>
    <w:rsid w:val="008D0E6B"/>
    <w:rsid w:val="008D3232"/>
    <w:rsid w:val="008D653A"/>
    <w:rsid w:val="008E1843"/>
    <w:rsid w:val="008E1D38"/>
    <w:rsid w:val="008E567C"/>
    <w:rsid w:val="008F0637"/>
    <w:rsid w:val="008F0D04"/>
    <w:rsid w:val="008F1326"/>
    <w:rsid w:val="008F27D5"/>
    <w:rsid w:val="008F2E2F"/>
    <w:rsid w:val="008F7238"/>
    <w:rsid w:val="008F7600"/>
    <w:rsid w:val="00902F9B"/>
    <w:rsid w:val="00904839"/>
    <w:rsid w:val="00910BA5"/>
    <w:rsid w:val="00915DEB"/>
    <w:rsid w:val="00921FF2"/>
    <w:rsid w:val="00932DB9"/>
    <w:rsid w:val="009517B5"/>
    <w:rsid w:val="00953138"/>
    <w:rsid w:val="00961D5D"/>
    <w:rsid w:val="00965379"/>
    <w:rsid w:val="00965B48"/>
    <w:rsid w:val="00967369"/>
    <w:rsid w:val="009768F5"/>
    <w:rsid w:val="009816D0"/>
    <w:rsid w:val="009929BC"/>
    <w:rsid w:val="00994BCD"/>
    <w:rsid w:val="0099638C"/>
    <w:rsid w:val="00997C12"/>
    <w:rsid w:val="009A2D6F"/>
    <w:rsid w:val="009A3A55"/>
    <w:rsid w:val="009A799E"/>
    <w:rsid w:val="009B1AE1"/>
    <w:rsid w:val="009B4AAF"/>
    <w:rsid w:val="009B6870"/>
    <w:rsid w:val="009B770C"/>
    <w:rsid w:val="009C4B90"/>
    <w:rsid w:val="009C7199"/>
    <w:rsid w:val="009D07DC"/>
    <w:rsid w:val="009D41DA"/>
    <w:rsid w:val="009E071C"/>
    <w:rsid w:val="009E0FBD"/>
    <w:rsid w:val="009E7F91"/>
    <w:rsid w:val="009F09F7"/>
    <w:rsid w:val="009F412A"/>
    <w:rsid w:val="009F50E9"/>
    <w:rsid w:val="00A02AC3"/>
    <w:rsid w:val="00A111BF"/>
    <w:rsid w:val="00A1239B"/>
    <w:rsid w:val="00A135BA"/>
    <w:rsid w:val="00A14961"/>
    <w:rsid w:val="00A16B1E"/>
    <w:rsid w:val="00A204FE"/>
    <w:rsid w:val="00A35706"/>
    <w:rsid w:val="00A46ED2"/>
    <w:rsid w:val="00A5047A"/>
    <w:rsid w:val="00A5147B"/>
    <w:rsid w:val="00A51E76"/>
    <w:rsid w:val="00A544B8"/>
    <w:rsid w:val="00A576BF"/>
    <w:rsid w:val="00A620F9"/>
    <w:rsid w:val="00A62660"/>
    <w:rsid w:val="00A64CE6"/>
    <w:rsid w:val="00A66320"/>
    <w:rsid w:val="00A71CB4"/>
    <w:rsid w:val="00A727BA"/>
    <w:rsid w:val="00A73FD2"/>
    <w:rsid w:val="00A7462F"/>
    <w:rsid w:val="00A82A66"/>
    <w:rsid w:val="00A83638"/>
    <w:rsid w:val="00A83989"/>
    <w:rsid w:val="00A86520"/>
    <w:rsid w:val="00A91324"/>
    <w:rsid w:val="00A934DE"/>
    <w:rsid w:val="00A95AC5"/>
    <w:rsid w:val="00AA2FDD"/>
    <w:rsid w:val="00AA3F14"/>
    <w:rsid w:val="00AA5B1B"/>
    <w:rsid w:val="00AB30F6"/>
    <w:rsid w:val="00AB3183"/>
    <w:rsid w:val="00AB540E"/>
    <w:rsid w:val="00AB7699"/>
    <w:rsid w:val="00AD128A"/>
    <w:rsid w:val="00AD2C81"/>
    <w:rsid w:val="00AD3241"/>
    <w:rsid w:val="00AD4978"/>
    <w:rsid w:val="00AD5424"/>
    <w:rsid w:val="00AD5B6F"/>
    <w:rsid w:val="00AD746D"/>
    <w:rsid w:val="00AE61E9"/>
    <w:rsid w:val="00AF1398"/>
    <w:rsid w:val="00AF29D2"/>
    <w:rsid w:val="00AF3CE1"/>
    <w:rsid w:val="00B01FAD"/>
    <w:rsid w:val="00B25B68"/>
    <w:rsid w:val="00B25FC0"/>
    <w:rsid w:val="00B27B60"/>
    <w:rsid w:val="00B32CA4"/>
    <w:rsid w:val="00B42D9B"/>
    <w:rsid w:val="00B43041"/>
    <w:rsid w:val="00B45594"/>
    <w:rsid w:val="00B46A6C"/>
    <w:rsid w:val="00B51E16"/>
    <w:rsid w:val="00B5617F"/>
    <w:rsid w:val="00B60E55"/>
    <w:rsid w:val="00B62FD7"/>
    <w:rsid w:val="00B72E33"/>
    <w:rsid w:val="00B74954"/>
    <w:rsid w:val="00B76A23"/>
    <w:rsid w:val="00B80E1C"/>
    <w:rsid w:val="00B845AC"/>
    <w:rsid w:val="00B86337"/>
    <w:rsid w:val="00B8766A"/>
    <w:rsid w:val="00B90B18"/>
    <w:rsid w:val="00B93056"/>
    <w:rsid w:val="00B97844"/>
    <w:rsid w:val="00B97A47"/>
    <w:rsid w:val="00BA4633"/>
    <w:rsid w:val="00BA6583"/>
    <w:rsid w:val="00BB0433"/>
    <w:rsid w:val="00BB1375"/>
    <w:rsid w:val="00BB3010"/>
    <w:rsid w:val="00BB5805"/>
    <w:rsid w:val="00BB5A0D"/>
    <w:rsid w:val="00BC0265"/>
    <w:rsid w:val="00BC273D"/>
    <w:rsid w:val="00BC3205"/>
    <w:rsid w:val="00BC3794"/>
    <w:rsid w:val="00BC4957"/>
    <w:rsid w:val="00BC7AF8"/>
    <w:rsid w:val="00BD3A8B"/>
    <w:rsid w:val="00BD4163"/>
    <w:rsid w:val="00BE16D9"/>
    <w:rsid w:val="00BE6046"/>
    <w:rsid w:val="00BE6430"/>
    <w:rsid w:val="00BE74B7"/>
    <w:rsid w:val="00BF03E9"/>
    <w:rsid w:val="00BF123B"/>
    <w:rsid w:val="00BF39A5"/>
    <w:rsid w:val="00BF3A0F"/>
    <w:rsid w:val="00BF45C6"/>
    <w:rsid w:val="00BF5C8C"/>
    <w:rsid w:val="00C011BC"/>
    <w:rsid w:val="00C030C6"/>
    <w:rsid w:val="00C04CA0"/>
    <w:rsid w:val="00C0676B"/>
    <w:rsid w:val="00C10373"/>
    <w:rsid w:val="00C10823"/>
    <w:rsid w:val="00C14DF6"/>
    <w:rsid w:val="00C17D72"/>
    <w:rsid w:val="00C221C5"/>
    <w:rsid w:val="00C3457E"/>
    <w:rsid w:val="00C40F38"/>
    <w:rsid w:val="00C43D9F"/>
    <w:rsid w:val="00C44E6C"/>
    <w:rsid w:val="00C46F26"/>
    <w:rsid w:val="00C51167"/>
    <w:rsid w:val="00C522F1"/>
    <w:rsid w:val="00C52789"/>
    <w:rsid w:val="00C53450"/>
    <w:rsid w:val="00C53BB9"/>
    <w:rsid w:val="00C546DD"/>
    <w:rsid w:val="00C554EA"/>
    <w:rsid w:val="00C67AC0"/>
    <w:rsid w:val="00C707B1"/>
    <w:rsid w:val="00C72441"/>
    <w:rsid w:val="00C76D8D"/>
    <w:rsid w:val="00C81B5C"/>
    <w:rsid w:val="00C844FD"/>
    <w:rsid w:val="00C84D92"/>
    <w:rsid w:val="00C86562"/>
    <w:rsid w:val="00C92B28"/>
    <w:rsid w:val="00C97876"/>
    <w:rsid w:val="00CA26E3"/>
    <w:rsid w:val="00CA29E9"/>
    <w:rsid w:val="00CB06FA"/>
    <w:rsid w:val="00CB1363"/>
    <w:rsid w:val="00CB23E4"/>
    <w:rsid w:val="00CB69D1"/>
    <w:rsid w:val="00CB7F7D"/>
    <w:rsid w:val="00CC401E"/>
    <w:rsid w:val="00CC44B3"/>
    <w:rsid w:val="00CD2E12"/>
    <w:rsid w:val="00CD4FB3"/>
    <w:rsid w:val="00CE19A3"/>
    <w:rsid w:val="00CE425F"/>
    <w:rsid w:val="00CE5A3E"/>
    <w:rsid w:val="00CF119D"/>
    <w:rsid w:val="00CF1BBA"/>
    <w:rsid w:val="00CF6E04"/>
    <w:rsid w:val="00D03D44"/>
    <w:rsid w:val="00D061D8"/>
    <w:rsid w:val="00D10498"/>
    <w:rsid w:val="00D14F0C"/>
    <w:rsid w:val="00D157A4"/>
    <w:rsid w:val="00D15FCD"/>
    <w:rsid w:val="00D17CF5"/>
    <w:rsid w:val="00D23F31"/>
    <w:rsid w:val="00D27208"/>
    <w:rsid w:val="00D30C9F"/>
    <w:rsid w:val="00D3114B"/>
    <w:rsid w:val="00D3167B"/>
    <w:rsid w:val="00D325D9"/>
    <w:rsid w:val="00D34454"/>
    <w:rsid w:val="00D40D76"/>
    <w:rsid w:val="00D41607"/>
    <w:rsid w:val="00D43C49"/>
    <w:rsid w:val="00D47BC5"/>
    <w:rsid w:val="00D5084C"/>
    <w:rsid w:val="00D51A0A"/>
    <w:rsid w:val="00D56263"/>
    <w:rsid w:val="00D67141"/>
    <w:rsid w:val="00D7194E"/>
    <w:rsid w:val="00D72EC0"/>
    <w:rsid w:val="00D84DB0"/>
    <w:rsid w:val="00D84F00"/>
    <w:rsid w:val="00D96061"/>
    <w:rsid w:val="00DA11F0"/>
    <w:rsid w:val="00DA2B31"/>
    <w:rsid w:val="00DB725E"/>
    <w:rsid w:val="00DD1773"/>
    <w:rsid w:val="00DD1BAC"/>
    <w:rsid w:val="00DD3057"/>
    <w:rsid w:val="00DD79ED"/>
    <w:rsid w:val="00DE13DB"/>
    <w:rsid w:val="00DE3985"/>
    <w:rsid w:val="00DF3E48"/>
    <w:rsid w:val="00DF5431"/>
    <w:rsid w:val="00DF596F"/>
    <w:rsid w:val="00E03B13"/>
    <w:rsid w:val="00E042E4"/>
    <w:rsid w:val="00E11E53"/>
    <w:rsid w:val="00E1635B"/>
    <w:rsid w:val="00E26E19"/>
    <w:rsid w:val="00E3107F"/>
    <w:rsid w:val="00E363EB"/>
    <w:rsid w:val="00E367FA"/>
    <w:rsid w:val="00E37AF5"/>
    <w:rsid w:val="00E4177F"/>
    <w:rsid w:val="00E4617B"/>
    <w:rsid w:val="00E514C4"/>
    <w:rsid w:val="00E528E3"/>
    <w:rsid w:val="00E53D44"/>
    <w:rsid w:val="00E60A57"/>
    <w:rsid w:val="00E64DC8"/>
    <w:rsid w:val="00E707BB"/>
    <w:rsid w:val="00E70A42"/>
    <w:rsid w:val="00E71A04"/>
    <w:rsid w:val="00E83ECB"/>
    <w:rsid w:val="00E85EEE"/>
    <w:rsid w:val="00E8717F"/>
    <w:rsid w:val="00E92B40"/>
    <w:rsid w:val="00E92F67"/>
    <w:rsid w:val="00E936D7"/>
    <w:rsid w:val="00E93882"/>
    <w:rsid w:val="00E93BCD"/>
    <w:rsid w:val="00E97432"/>
    <w:rsid w:val="00E97A79"/>
    <w:rsid w:val="00EA0316"/>
    <w:rsid w:val="00EA3DC5"/>
    <w:rsid w:val="00EA437F"/>
    <w:rsid w:val="00EA6210"/>
    <w:rsid w:val="00EB43EC"/>
    <w:rsid w:val="00EC1429"/>
    <w:rsid w:val="00EC190A"/>
    <w:rsid w:val="00EC1DF0"/>
    <w:rsid w:val="00ED36C5"/>
    <w:rsid w:val="00ED384E"/>
    <w:rsid w:val="00ED4C55"/>
    <w:rsid w:val="00ED52D9"/>
    <w:rsid w:val="00EE5D99"/>
    <w:rsid w:val="00EF4FDC"/>
    <w:rsid w:val="00EF610D"/>
    <w:rsid w:val="00EF6C22"/>
    <w:rsid w:val="00F02C8A"/>
    <w:rsid w:val="00F1235A"/>
    <w:rsid w:val="00F141DF"/>
    <w:rsid w:val="00F358C8"/>
    <w:rsid w:val="00F37575"/>
    <w:rsid w:val="00F449E6"/>
    <w:rsid w:val="00F5069E"/>
    <w:rsid w:val="00F50939"/>
    <w:rsid w:val="00F51DCB"/>
    <w:rsid w:val="00F56C7C"/>
    <w:rsid w:val="00F605D1"/>
    <w:rsid w:val="00F629F2"/>
    <w:rsid w:val="00F62C2B"/>
    <w:rsid w:val="00F66014"/>
    <w:rsid w:val="00F67FD3"/>
    <w:rsid w:val="00F73BA6"/>
    <w:rsid w:val="00F83C12"/>
    <w:rsid w:val="00F85C09"/>
    <w:rsid w:val="00F917FB"/>
    <w:rsid w:val="00F94951"/>
    <w:rsid w:val="00FA28B2"/>
    <w:rsid w:val="00FA499A"/>
    <w:rsid w:val="00FB149F"/>
    <w:rsid w:val="00FC3E09"/>
    <w:rsid w:val="00FC4E3C"/>
    <w:rsid w:val="00FC60B1"/>
    <w:rsid w:val="00FC6549"/>
    <w:rsid w:val="00FD0B37"/>
    <w:rsid w:val="00FD40E4"/>
    <w:rsid w:val="00FE2D42"/>
    <w:rsid w:val="00FE459F"/>
    <w:rsid w:val="00FE6942"/>
    <w:rsid w:val="00FF5FE2"/>
    <w:rsid w:val="00FF7840"/>
    <w:rsid w:val="0106991C"/>
    <w:rsid w:val="0111153F"/>
    <w:rsid w:val="01B8C5F5"/>
    <w:rsid w:val="02BC5E91"/>
    <w:rsid w:val="0317B024"/>
    <w:rsid w:val="035FCBD3"/>
    <w:rsid w:val="05BA27C1"/>
    <w:rsid w:val="06186EF1"/>
    <w:rsid w:val="064BE387"/>
    <w:rsid w:val="067970D7"/>
    <w:rsid w:val="07716FD3"/>
    <w:rsid w:val="08C18B0C"/>
    <w:rsid w:val="0AB2F340"/>
    <w:rsid w:val="0AD88B3E"/>
    <w:rsid w:val="0B6D0408"/>
    <w:rsid w:val="0C929174"/>
    <w:rsid w:val="0D522E91"/>
    <w:rsid w:val="0EDE3ED7"/>
    <w:rsid w:val="0FD62C87"/>
    <w:rsid w:val="10FCEC34"/>
    <w:rsid w:val="1115F89A"/>
    <w:rsid w:val="11983BD3"/>
    <w:rsid w:val="12AC5951"/>
    <w:rsid w:val="142F1A00"/>
    <w:rsid w:val="14810EBD"/>
    <w:rsid w:val="14B951E0"/>
    <w:rsid w:val="14C36013"/>
    <w:rsid w:val="1543FE98"/>
    <w:rsid w:val="15ED66D9"/>
    <w:rsid w:val="16076AEE"/>
    <w:rsid w:val="16199574"/>
    <w:rsid w:val="1652F568"/>
    <w:rsid w:val="166E2BDA"/>
    <w:rsid w:val="172D36DC"/>
    <w:rsid w:val="17B8090D"/>
    <w:rsid w:val="183E1F70"/>
    <w:rsid w:val="18CD1A26"/>
    <w:rsid w:val="18D3417F"/>
    <w:rsid w:val="1915424A"/>
    <w:rsid w:val="192B69A4"/>
    <w:rsid w:val="1A705945"/>
    <w:rsid w:val="1AF8174B"/>
    <w:rsid w:val="1B215A73"/>
    <w:rsid w:val="1CBD4678"/>
    <w:rsid w:val="1CD4596C"/>
    <w:rsid w:val="1D048EDF"/>
    <w:rsid w:val="1D4E8016"/>
    <w:rsid w:val="1D78F0A1"/>
    <w:rsid w:val="1DEEB0D5"/>
    <w:rsid w:val="1E252587"/>
    <w:rsid w:val="1E360D16"/>
    <w:rsid w:val="1E6B1149"/>
    <w:rsid w:val="1E842ED6"/>
    <w:rsid w:val="1F99A663"/>
    <w:rsid w:val="1F9AB3E6"/>
    <w:rsid w:val="21E938FF"/>
    <w:rsid w:val="21F20109"/>
    <w:rsid w:val="21F7E350"/>
    <w:rsid w:val="2212C853"/>
    <w:rsid w:val="23A3C794"/>
    <w:rsid w:val="23F131F4"/>
    <w:rsid w:val="248475DC"/>
    <w:rsid w:val="24C69AD1"/>
    <w:rsid w:val="253FD38E"/>
    <w:rsid w:val="25B9A21C"/>
    <w:rsid w:val="25E2B814"/>
    <w:rsid w:val="260162F8"/>
    <w:rsid w:val="2679C43B"/>
    <w:rsid w:val="26A45FF4"/>
    <w:rsid w:val="276DE9DB"/>
    <w:rsid w:val="27A75DCE"/>
    <w:rsid w:val="282862D4"/>
    <w:rsid w:val="2832EA5B"/>
    <w:rsid w:val="2A15DCC1"/>
    <w:rsid w:val="2A8E4FEE"/>
    <w:rsid w:val="2AC7B154"/>
    <w:rsid w:val="2BBE6268"/>
    <w:rsid w:val="2BD7CACA"/>
    <w:rsid w:val="2BEF6E20"/>
    <w:rsid w:val="2C44C3F5"/>
    <w:rsid w:val="2CCFCFE0"/>
    <w:rsid w:val="2DBC0DDB"/>
    <w:rsid w:val="2DD5BAC3"/>
    <w:rsid w:val="2E46DA3C"/>
    <w:rsid w:val="2ED4B455"/>
    <w:rsid w:val="2ED6B77D"/>
    <w:rsid w:val="2EDFEBD2"/>
    <w:rsid w:val="2F05ECA7"/>
    <w:rsid w:val="2F8939D3"/>
    <w:rsid w:val="2FB6B178"/>
    <w:rsid w:val="2FCBA915"/>
    <w:rsid w:val="31198ECC"/>
    <w:rsid w:val="31C87A7E"/>
    <w:rsid w:val="33B32CFE"/>
    <w:rsid w:val="33C18E8A"/>
    <w:rsid w:val="33DFDCA3"/>
    <w:rsid w:val="33F3AA1B"/>
    <w:rsid w:val="33FFDD53"/>
    <w:rsid w:val="343D33DF"/>
    <w:rsid w:val="345D258E"/>
    <w:rsid w:val="3464122A"/>
    <w:rsid w:val="3575446C"/>
    <w:rsid w:val="35C6D43E"/>
    <w:rsid w:val="35F4655E"/>
    <w:rsid w:val="3752CF87"/>
    <w:rsid w:val="37821EFB"/>
    <w:rsid w:val="37E508A5"/>
    <w:rsid w:val="381F0BA0"/>
    <w:rsid w:val="38EFD758"/>
    <w:rsid w:val="39A3FA55"/>
    <w:rsid w:val="39E431A5"/>
    <w:rsid w:val="3A2BC4A3"/>
    <w:rsid w:val="3A8103A2"/>
    <w:rsid w:val="3AA269D6"/>
    <w:rsid w:val="3AC7B7BC"/>
    <w:rsid w:val="3ADFC4B2"/>
    <w:rsid w:val="3AE08F83"/>
    <w:rsid w:val="3B0C1568"/>
    <w:rsid w:val="3BB895F9"/>
    <w:rsid w:val="3C03DC5C"/>
    <w:rsid w:val="3CC08458"/>
    <w:rsid w:val="3CC9CE9F"/>
    <w:rsid w:val="3DD0C14F"/>
    <w:rsid w:val="3F514340"/>
    <w:rsid w:val="4160CEC3"/>
    <w:rsid w:val="424536CE"/>
    <w:rsid w:val="436BD810"/>
    <w:rsid w:val="43AB5311"/>
    <w:rsid w:val="46617649"/>
    <w:rsid w:val="469160D2"/>
    <w:rsid w:val="471E9284"/>
    <w:rsid w:val="475AB8C5"/>
    <w:rsid w:val="47C6F104"/>
    <w:rsid w:val="4924BED0"/>
    <w:rsid w:val="4ACF03A6"/>
    <w:rsid w:val="4BDCA4E9"/>
    <w:rsid w:val="4BE77AD3"/>
    <w:rsid w:val="4DC16519"/>
    <w:rsid w:val="4E0C1461"/>
    <w:rsid w:val="4E2112BE"/>
    <w:rsid w:val="4E41C282"/>
    <w:rsid w:val="4E49BDB6"/>
    <w:rsid w:val="4EF70D81"/>
    <w:rsid w:val="4F32AD1F"/>
    <w:rsid w:val="4FBBD504"/>
    <w:rsid w:val="4FCA8601"/>
    <w:rsid w:val="50E9B8A3"/>
    <w:rsid w:val="51017419"/>
    <w:rsid w:val="51477A21"/>
    <w:rsid w:val="519FBD5F"/>
    <w:rsid w:val="521EB00A"/>
    <w:rsid w:val="521FAA9E"/>
    <w:rsid w:val="5259AD14"/>
    <w:rsid w:val="525D4316"/>
    <w:rsid w:val="52DF080B"/>
    <w:rsid w:val="542A9EDC"/>
    <w:rsid w:val="549B7A28"/>
    <w:rsid w:val="54D5477C"/>
    <w:rsid w:val="5504068E"/>
    <w:rsid w:val="5504184B"/>
    <w:rsid w:val="55DD845C"/>
    <w:rsid w:val="5680C15B"/>
    <w:rsid w:val="58059B9A"/>
    <w:rsid w:val="5949ABDC"/>
    <w:rsid w:val="597071FC"/>
    <w:rsid w:val="5A5B91AC"/>
    <w:rsid w:val="5B1F5B4F"/>
    <w:rsid w:val="5B5042EB"/>
    <w:rsid w:val="5B5427A0"/>
    <w:rsid w:val="5B94247A"/>
    <w:rsid w:val="5B9E7E78"/>
    <w:rsid w:val="5C54C0E4"/>
    <w:rsid w:val="5CB63680"/>
    <w:rsid w:val="5D9FDC70"/>
    <w:rsid w:val="5E8E0955"/>
    <w:rsid w:val="5EC0C26D"/>
    <w:rsid w:val="5ECA13BD"/>
    <w:rsid w:val="5ED2E73B"/>
    <w:rsid w:val="5F33F3EB"/>
    <w:rsid w:val="5F3BC215"/>
    <w:rsid w:val="60914D08"/>
    <w:rsid w:val="6176065A"/>
    <w:rsid w:val="6182743A"/>
    <w:rsid w:val="61D468A0"/>
    <w:rsid w:val="61F83022"/>
    <w:rsid w:val="6227B014"/>
    <w:rsid w:val="631F714F"/>
    <w:rsid w:val="632D09EE"/>
    <w:rsid w:val="63510148"/>
    <w:rsid w:val="638F9B4E"/>
    <w:rsid w:val="63D38BBE"/>
    <w:rsid w:val="640F09BC"/>
    <w:rsid w:val="6468559B"/>
    <w:rsid w:val="649E6DA1"/>
    <w:rsid w:val="64C79573"/>
    <w:rsid w:val="6532AA30"/>
    <w:rsid w:val="65C489F4"/>
    <w:rsid w:val="65EFC8DF"/>
    <w:rsid w:val="6658CA6B"/>
    <w:rsid w:val="667D0B00"/>
    <w:rsid w:val="68D87FCD"/>
    <w:rsid w:val="68EB4EEF"/>
    <w:rsid w:val="697DE120"/>
    <w:rsid w:val="6A9F0E90"/>
    <w:rsid w:val="6ADCDC0F"/>
    <w:rsid w:val="6B11E1A4"/>
    <w:rsid w:val="6B186AEC"/>
    <w:rsid w:val="6B6D9F62"/>
    <w:rsid w:val="6B6F6F6E"/>
    <w:rsid w:val="6CA85459"/>
    <w:rsid w:val="6D5EFED3"/>
    <w:rsid w:val="6DBB9D49"/>
    <w:rsid w:val="6DEF51FF"/>
    <w:rsid w:val="6E2696B3"/>
    <w:rsid w:val="6E2AEA25"/>
    <w:rsid w:val="6E748F69"/>
    <w:rsid w:val="6F0C71E2"/>
    <w:rsid w:val="70AE37B0"/>
    <w:rsid w:val="70BCE039"/>
    <w:rsid w:val="70E6C2FC"/>
    <w:rsid w:val="71FD0F43"/>
    <w:rsid w:val="723BDE1B"/>
    <w:rsid w:val="729AAA2B"/>
    <w:rsid w:val="72A1422E"/>
    <w:rsid w:val="72B9EA97"/>
    <w:rsid w:val="73CFB6AA"/>
    <w:rsid w:val="7438F134"/>
    <w:rsid w:val="7449792B"/>
    <w:rsid w:val="7469740E"/>
    <w:rsid w:val="765E9CA8"/>
    <w:rsid w:val="766CF10F"/>
    <w:rsid w:val="78622D8A"/>
    <w:rsid w:val="78C2A272"/>
    <w:rsid w:val="7A72D91E"/>
    <w:rsid w:val="7BF8C97F"/>
    <w:rsid w:val="7C40CA1E"/>
    <w:rsid w:val="7CC11B71"/>
    <w:rsid w:val="7CD07702"/>
    <w:rsid w:val="7DA91C24"/>
    <w:rsid w:val="7DD1B6A2"/>
    <w:rsid w:val="7E5BF1B3"/>
    <w:rsid w:val="7EAB32AF"/>
    <w:rsid w:val="7EB9DB3E"/>
    <w:rsid w:val="7F312BD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405F96"/>
  <w15:chartTrackingRefBased/>
  <w15:docId w15:val="{E4CC61CF-FFB9-4E51-A193-3F2B405DAA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F0637"/>
  </w:style>
  <w:style w:type="paragraph" w:styleId="Heading1">
    <w:name w:val="heading 1"/>
    <w:basedOn w:val="Normal"/>
    <w:next w:val="Normal"/>
    <w:link w:val="Heading1Char"/>
    <w:uiPriority w:val="9"/>
    <w:qFormat/>
    <w:rsid w:val="001E25F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1E25F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1E25F9"/>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1E25F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1E25F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1E25F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E25F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E25F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E25F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E25F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1E25F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1E25F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1E25F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1E25F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1E25F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E25F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E25F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E25F9"/>
    <w:rPr>
      <w:rFonts w:eastAsiaTheme="majorEastAsia" w:cstheme="majorBidi"/>
      <w:color w:val="272727" w:themeColor="text1" w:themeTint="D8"/>
    </w:rPr>
  </w:style>
  <w:style w:type="paragraph" w:styleId="Title">
    <w:name w:val="Title"/>
    <w:basedOn w:val="Normal"/>
    <w:next w:val="Normal"/>
    <w:link w:val="TitleChar"/>
    <w:uiPriority w:val="10"/>
    <w:qFormat/>
    <w:rsid w:val="001E25F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E25F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E25F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E25F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E25F9"/>
    <w:pPr>
      <w:spacing w:before="160"/>
      <w:jc w:val="center"/>
    </w:pPr>
    <w:rPr>
      <w:i/>
      <w:iCs/>
      <w:color w:val="404040" w:themeColor="text1" w:themeTint="BF"/>
    </w:rPr>
  </w:style>
  <w:style w:type="character" w:customStyle="1" w:styleId="QuoteChar">
    <w:name w:val="Quote Char"/>
    <w:basedOn w:val="DefaultParagraphFont"/>
    <w:link w:val="Quote"/>
    <w:uiPriority w:val="29"/>
    <w:rsid w:val="001E25F9"/>
    <w:rPr>
      <w:i/>
      <w:iCs/>
      <w:color w:val="404040" w:themeColor="text1" w:themeTint="BF"/>
    </w:rPr>
  </w:style>
  <w:style w:type="paragraph" w:styleId="ListParagraph">
    <w:name w:val="List Paragraph"/>
    <w:basedOn w:val="Normal"/>
    <w:uiPriority w:val="34"/>
    <w:qFormat/>
    <w:rsid w:val="001E25F9"/>
    <w:pPr>
      <w:ind w:left="720"/>
      <w:contextualSpacing/>
    </w:pPr>
  </w:style>
  <w:style w:type="character" w:styleId="IntenseEmphasis">
    <w:name w:val="Intense Emphasis"/>
    <w:basedOn w:val="DefaultParagraphFont"/>
    <w:uiPriority w:val="21"/>
    <w:qFormat/>
    <w:rsid w:val="001E25F9"/>
    <w:rPr>
      <w:i/>
      <w:iCs/>
      <w:color w:val="0F4761" w:themeColor="accent1" w:themeShade="BF"/>
    </w:rPr>
  </w:style>
  <w:style w:type="paragraph" w:styleId="IntenseQuote">
    <w:name w:val="Intense Quote"/>
    <w:basedOn w:val="Normal"/>
    <w:next w:val="Normal"/>
    <w:link w:val="IntenseQuoteChar"/>
    <w:uiPriority w:val="30"/>
    <w:qFormat/>
    <w:rsid w:val="001E25F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1E25F9"/>
    <w:rPr>
      <w:i/>
      <w:iCs/>
      <w:color w:val="0F4761" w:themeColor="accent1" w:themeShade="BF"/>
    </w:rPr>
  </w:style>
  <w:style w:type="character" w:styleId="IntenseReference">
    <w:name w:val="Intense Reference"/>
    <w:basedOn w:val="DefaultParagraphFont"/>
    <w:uiPriority w:val="32"/>
    <w:qFormat/>
    <w:rsid w:val="001E25F9"/>
    <w:rPr>
      <w:b/>
      <w:bCs/>
      <w:smallCaps/>
      <w:color w:val="0F4761" w:themeColor="accent1" w:themeShade="BF"/>
      <w:spacing w:val="5"/>
    </w:rPr>
  </w:style>
  <w:style w:type="paragraph" w:customStyle="1" w:styleId="Bulletliste">
    <w:name w:val="Bulletliste"/>
    <w:basedOn w:val="Normal"/>
    <w:qFormat/>
    <w:rsid w:val="00246BCB"/>
    <w:pPr>
      <w:numPr>
        <w:numId w:val="6"/>
      </w:numPr>
      <w:spacing w:after="40" w:line="260" w:lineRule="atLeast"/>
    </w:pPr>
    <w:rPr>
      <w:rFonts w:ascii="Arial" w:eastAsia="Calibri" w:hAnsi="Arial" w:cs="Times New Roman"/>
      <w:kern w:val="0"/>
      <w:sz w:val="20"/>
      <w:lang w:val="de-DE"/>
      <w14:ligatures w14:val="none"/>
    </w:rPr>
  </w:style>
  <w:style w:type="character" w:customStyle="1" w:styleId="ListParagraphChar">
    <w:name w:val="List Paragraph Char"/>
    <w:uiPriority w:val="34"/>
    <w:qFormat/>
    <w:rsid w:val="00246BCB"/>
    <w:rPr>
      <w:rFonts w:cs="Frutiger-Light"/>
      <w:lang w:val="en-GB" w:eastAsia="es-ES"/>
    </w:rPr>
  </w:style>
  <w:style w:type="paragraph" w:customStyle="1" w:styleId="standard">
    <w:name w:val="standard"/>
    <w:basedOn w:val="ListParagraph"/>
    <w:qFormat/>
    <w:rsid w:val="00246BCB"/>
    <w:pPr>
      <w:suppressAutoHyphens/>
      <w:overflowPunct w:val="0"/>
      <w:spacing w:after="120" w:line="240" w:lineRule="auto"/>
      <w:ind w:left="0"/>
      <w:contextualSpacing w:val="0"/>
    </w:pPr>
    <w:rPr>
      <w:rFonts w:ascii="Calibri" w:eastAsia="NSimSun" w:hAnsi="Calibri" w:cs="Calibri"/>
      <w:sz w:val="20"/>
      <w:szCs w:val="24"/>
      <w:lang w:eastAsia="zh-CN" w:bidi="hi-IN"/>
      <w14:ligatures w14:val="none"/>
    </w:rPr>
  </w:style>
  <w:style w:type="paragraph" w:customStyle="1" w:styleId="heading30">
    <w:name w:val="heading3"/>
    <w:basedOn w:val="Heading3"/>
    <w:qFormat/>
    <w:rsid w:val="00246BCB"/>
    <w:pPr>
      <w:keepLines w:val="0"/>
      <w:tabs>
        <w:tab w:val="left" w:pos="0"/>
      </w:tabs>
      <w:suppressAutoHyphens/>
      <w:overflowPunct w:val="0"/>
      <w:spacing w:before="0" w:after="240" w:line="240" w:lineRule="auto"/>
      <w:jc w:val="both"/>
    </w:pPr>
    <w:rPr>
      <w:rFonts w:ascii="Avenir Next LT Pro" w:eastAsia="NSimSun" w:hAnsi="Avenir Next LT Pro" w:cstheme="minorHAnsi"/>
      <w:color w:val="156082" w:themeColor="accent1"/>
      <w:spacing w:val="-3"/>
      <w:szCs w:val="24"/>
      <w:lang w:eastAsia="zh-CN" w:bidi="hi-IN"/>
      <w14:ligatures w14:val="none"/>
    </w:rPr>
  </w:style>
  <w:style w:type="paragraph" w:styleId="Header">
    <w:name w:val="header"/>
    <w:basedOn w:val="Normal"/>
    <w:link w:val="HeaderChar"/>
    <w:uiPriority w:val="99"/>
    <w:unhideWhenUsed/>
    <w:rsid w:val="00E707BB"/>
    <w:pPr>
      <w:tabs>
        <w:tab w:val="center" w:pos="4680"/>
        <w:tab w:val="right" w:pos="9360"/>
      </w:tabs>
      <w:spacing w:after="0" w:line="240" w:lineRule="auto"/>
    </w:pPr>
  </w:style>
  <w:style w:type="character" w:customStyle="1" w:styleId="HeaderChar">
    <w:name w:val="Header Char"/>
    <w:basedOn w:val="DefaultParagraphFont"/>
    <w:link w:val="Header"/>
    <w:uiPriority w:val="99"/>
    <w:rsid w:val="00E707BB"/>
  </w:style>
  <w:style w:type="paragraph" w:styleId="Footer">
    <w:name w:val="footer"/>
    <w:basedOn w:val="Normal"/>
    <w:link w:val="FooterChar"/>
    <w:uiPriority w:val="99"/>
    <w:unhideWhenUsed/>
    <w:rsid w:val="00E707BB"/>
    <w:pPr>
      <w:tabs>
        <w:tab w:val="center" w:pos="4680"/>
        <w:tab w:val="right" w:pos="9360"/>
      </w:tabs>
      <w:spacing w:after="0" w:line="240" w:lineRule="auto"/>
    </w:pPr>
  </w:style>
  <w:style w:type="character" w:customStyle="1" w:styleId="FooterChar">
    <w:name w:val="Footer Char"/>
    <w:basedOn w:val="DefaultParagraphFont"/>
    <w:link w:val="Footer"/>
    <w:uiPriority w:val="99"/>
    <w:rsid w:val="00E707BB"/>
  </w:style>
  <w:style w:type="character" w:styleId="CommentReference">
    <w:name w:val="annotation reference"/>
    <w:basedOn w:val="DefaultParagraphFont"/>
    <w:uiPriority w:val="99"/>
    <w:semiHidden/>
    <w:unhideWhenUsed/>
    <w:rsid w:val="0079022A"/>
    <w:rPr>
      <w:sz w:val="16"/>
      <w:szCs w:val="16"/>
    </w:rPr>
  </w:style>
  <w:style w:type="paragraph" w:styleId="CommentText">
    <w:name w:val="annotation text"/>
    <w:basedOn w:val="Normal"/>
    <w:link w:val="CommentTextChar"/>
    <w:uiPriority w:val="99"/>
    <w:unhideWhenUsed/>
    <w:rsid w:val="0079022A"/>
    <w:pPr>
      <w:spacing w:line="240" w:lineRule="auto"/>
    </w:pPr>
    <w:rPr>
      <w:sz w:val="20"/>
      <w:szCs w:val="20"/>
    </w:rPr>
  </w:style>
  <w:style w:type="character" w:customStyle="1" w:styleId="CommentTextChar">
    <w:name w:val="Comment Text Char"/>
    <w:basedOn w:val="DefaultParagraphFont"/>
    <w:link w:val="CommentText"/>
    <w:uiPriority w:val="99"/>
    <w:rsid w:val="0079022A"/>
    <w:rPr>
      <w:sz w:val="20"/>
      <w:szCs w:val="20"/>
    </w:rPr>
  </w:style>
  <w:style w:type="paragraph" w:styleId="CommentSubject">
    <w:name w:val="annotation subject"/>
    <w:basedOn w:val="CommentText"/>
    <w:next w:val="CommentText"/>
    <w:link w:val="CommentSubjectChar"/>
    <w:uiPriority w:val="99"/>
    <w:semiHidden/>
    <w:unhideWhenUsed/>
    <w:rsid w:val="0079022A"/>
    <w:rPr>
      <w:b/>
      <w:bCs/>
    </w:rPr>
  </w:style>
  <w:style w:type="character" w:customStyle="1" w:styleId="CommentSubjectChar">
    <w:name w:val="Comment Subject Char"/>
    <w:basedOn w:val="CommentTextChar"/>
    <w:link w:val="CommentSubject"/>
    <w:uiPriority w:val="99"/>
    <w:semiHidden/>
    <w:rsid w:val="0079022A"/>
    <w:rPr>
      <w:b/>
      <w:bCs/>
      <w:sz w:val="20"/>
      <w:szCs w:val="20"/>
    </w:rPr>
  </w:style>
  <w:style w:type="paragraph" w:styleId="Revision">
    <w:name w:val="Revision"/>
    <w:hidden/>
    <w:uiPriority w:val="99"/>
    <w:semiHidden/>
    <w:rsid w:val="00FF7840"/>
    <w:pPr>
      <w:spacing w:after="0" w:line="240" w:lineRule="auto"/>
    </w:pPr>
  </w:style>
  <w:style w:type="character" w:styleId="Mention">
    <w:name w:val="Mention"/>
    <w:basedOn w:val="DefaultParagraphFont"/>
    <w:uiPriority w:val="99"/>
    <w:unhideWhenUsed/>
    <w:rsid w:val="000F3AA2"/>
    <w:rPr>
      <w:color w:val="2B579A"/>
      <w:shd w:val="clear" w:color="auto" w:fill="E1DFDD"/>
    </w:rPr>
  </w:style>
  <w:style w:type="table" w:styleId="TableGrid">
    <w:name w:val="Table Grid"/>
    <w:basedOn w:val="TableNormal"/>
    <w:uiPriority w:val="59"/>
    <w:rsid w:val="00FA28B2"/>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0215528">
      <w:bodyDiv w:val="1"/>
      <w:marLeft w:val="0"/>
      <w:marRight w:val="0"/>
      <w:marTop w:val="0"/>
      <w:marBottom w:val="0"/>
      <w:divBdr>
        <w:top w:val="none" w:sz="0" w:space="0" w:color="auto"/>
        <w:left w:val="none" w:sz="0" w:space="0" w:color="auto"/>
        <w:bottom w:val="none" w:sz="0" w:space="0" w:color="auto"/>
        <w:right w:val="none" w:sz="0" w:space="0" w:color="auto"/>
      </w:divBdr>
    </w:div>
    <w:div w:id="811945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866EEA0F1734E4F9BD739034A9DEA08" ma:contentTypeVersion="27" ma:contentTypeDescription="Create a new document." ma:contentTypeScope="" ma:versionID="55704d466bc2fb813ec9660c7f8b69ff">
  <xsd:schema xmlns:xsd="http://www.w3.org/2001/XMLSchema" xmlns:xs="http://www.w3.org/2001/XMLSchema" xmlns:p="http://schemas.microsoft.com/office/2006/metadata/properties" xmlns:ns2="f60f1a36-0d2a-4c7f-8a8c-89727e9c6c94" xmlns:ns3="c903d579-a93e-423b-afeb-06163ef1ee22" targetNamespace="http://schemas.microsoft.com/office/2006/metadata/properties" ma:root="true" ma:fieldsID="02b383ad4ff3a38aa40eaef2e9689ba4" ns2:_="" ns3:_="">
    <xsd:import namespace="f60f1a36-0d2a-4c7f-8a8c-89727e9c6c94"/>
    <xsd:import namespace="c903d579-a93e-423b-afeb-06163ef1ee22"/>
    <xsd:element name="properties">
      <xsd:complexType>
        <xsd:sequence>
          <xsd:element name="documentManagement">
            <xsd:complexType>
              <xsd:all>
                <xsd:element ref="ns2:TaxKeywordTaxHTField" minOccurs="0"/>
                <xsd:element ref="ns2:TaxCatchAll" minOccurs="0"/>
                <xsd:element ref="ns3:Comments" minOccurs="0"/>
                <xsd:element ref="ns3:ShareflexMigrated" minOccurs="0"/>
                <xsd:element ref="ns3:DocumentType" minOccurs="0"/>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lcf76f155ced4ddcb4097134ff3c332f" minOccurs="0"/>
                <xsd:element ref="ns3:MediaServiceDateTaken" minOccurs="0"/>
                <xsd:element ref="ns3:MediaServiceLocation" minOccurs="0"/>
                <xsd:element ref="ns3:MediaLengthInSeconds" minOccurs="0"/>
                <xsd:element ref="ns3:MediaServiceObjectDetectorVersions" minOccurs="0"/>
                <xsd:element ref="ns3:MediaServiceSearchProperties" minOccurs="0"/>
                <xsd:element ref="ns3:XRITSync" minOccurs="0"/>
                <xsd:element ref="ns3:CBSSync" minOccurs="0"/>
                <xsd:element ref="ns3:LastSync"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60f1a36-0d2a-4c7f-8a8c-89727e9c6c94" elementFormDefault="qualified">
    <xsd:import namespace="http://schemas.microsoft.com/office/2006/documentManagement/types"/>
    <xsd:import namespace="http://schemas.microsoft.com/office/infopath/2007/PartnerControls"/>
    <xsd:element name="TaxKeywordTaxHTField" ma:index="9" nillable="true" ma:taxonomy="true" ma:internalName="TaxKeywordTaxHTField" ma:taxonomyFieldName="TaxKeyword" ma:displayName="Enterprise Keywords" ma:fieldId="{23f27201-bee3-471e-b2e7-b64fd8b7ca38}" ma:taxonomyMulti="true" ma:sspId="ac47ba64-1f81-41ec-987c-d062624741d1" ma:termSetId="00000000-0000-0000-0000-000000000000" ma:anchorId="00000000-0000-0000-0000-000000000000" ma:open="true" ma:isKeyword="true">
      <xsd:complexType>
        <xsd:sequence>
          <xsd:element ref="pc:Terms" minOccurs="0" maxOccurs="1"/>
        </xsd:sequence>
      </xsd:complexType>
    </xsd:element>
    <xsd:element name="TaxCatchAll" ma:index="10" nillable="true" ma:displayName="Taxonomy Catch All Column" ma:hidden="true" ma:list="{04ab77d0-4b3f-49fd-b434-413642fc61c2}" ma:internalName="TaxCatchAll" ma:showField="CatchAllData" ma:web="f60f1a36-0d2a-4c7f-8a8c-89727e9c6c94">
      <xsd:complexType>
        <xsd:complexContent>
          <xsd:extension base="dms:MultiChoiceLookup">
            <xsd:sequence>
              <xsd:element name="Value" type="dms:Lookup" maxOccurs="unbounded" minOccurs="0" nillable="true"/>
            </xsd:sequence>
          </xsd:extension>
        </xsd:complexContent>
      </xsd:complexType>
    </xsd:element>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903d579-a93e-423b-afeb-06163ef1ee22" elementFormDefault="qualified">
    <xsd:import namespace="http://schemas.microsoft.com/office/2006/documentManagement/types"/>
    <xsd:import namespace="http://schemas.microsoft.com/office/infopath/2007/PartnerControls"/>
    <xsd:element name="Comments" ma:index="11" nillable="true" ma:displayName="Comments" ma:format="Dropdown" ma:internalName="Comments">
      <xsd:simpleType>
        <xsd:restriction base="dms:Note">
          <xsd:maxLength value="255"/>
        </xsd:restriction>
      </xsd:simpleType>
    </xsd:element>
    <xsd:element name="ShareflexMigrated" ma:index="12" nillable="true" ma:displayName="Shareflex migrated" ma:internalName="ShareflexMigrated">
      <xsd:simpleType>
        <xsd:restriction base="dms:Boolean"/>
      </xsd:simpleType>
    </xsd:element>
    <xsd:element name="DocumentType" ma:index="13" nillable="true" ma:displayName="Document Type" ma:internalName="DocumentType">
      <xsd:simpleType>
        <xsd:restriction base="dms:Choice">
          <xsd:enumeration value="Announcement"/>
          <xsd:enumeration value="Budget"/>
          <xsd:enumeration value="Calculation"/>
          <xsd:enumeration value="Concept"/>
          <xsd:enumeration value="Config"/>
          <xsd:enumeration value="Contract"/>
          <xsd:enumeration value="Datasheet"/>
          <xsd:enumeration value="Documentation"/>
          <xsd:enumeration value="Drawing"/>
          <xsd:enumeration value="Guideline"/>
          <xsd:enumeration value="Image"/>
          <xsd:enumeration value="Invoice"/>
          <xsd:enumeration value="Lessons Learned"/>
          <xsd:enumeration value="Logo"/>
          <xsd:enumeration value="Manual"/>
          <xsd:enumeration value="Meeting Minutes"/>
          <xsd:enumeration value="Offering"/>
          <xsd:enumeration value="Policy"/>
          <xsd:enumeration value="Presentation"/>
          <xsd:enumeration value="Pricing"/>
          <xsd:enumeration value="Process"/>
          <xsd:enumeration value="Protocol"/>
          <xsd:enumeration value="Report"/>
          <xsd:enumeration value="Review"/>
          <xsd:enumeration value="Script"/>
          <xsd:enumeration value="Service Level Agreement"/>
          <xsd:enumeration value="Template"/>
          <xsd:enumeration value="Test Plan"/>
          <xsd:enumeration value="Video"/>
          <xsd:enumeration value="Workflow"/>
        </xsd:restriction>
      </xsd:simpleType>
    </xsd:element>
    <xsd:element name="MediaServiceMetadata" ma:index="16" nillable="true" ma:displayName="MediaServiceMetadata" ma:hidden="true" ma:internalName="MediaServiceMetadata" ma:readOnly="true">
      <xsd:simpleType>
        <xsd:restriction base="dms:Note"/>
      </xsd:simpleType>
    </xsd:element>
    <xsd:element name="MediaServiceFastMetadata" ma:index="17" nillable="true" ma:displayName="MediaServiceFastMetadata" ma:hidden="true" ma:internalName="MediaServiceFastMetadata" ma:readOnly="true">
      <xsd:simpleType>
        <xsd:restriction base="dms:Note"/>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AutoTags" ma:index="20" nillable="true" ma:displayName="Tags" ma:internalName="MediaServiceAutoTags"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ac47ba64-1f81-41ec-987c-d062624741d1" ma:termSetId="09814cd3-568e-fe90-9814-8d621ff8fb84" ma:anchorId="fba54fb3-c3e1-fe81-a776-ca4b69148c4d" ma:open="true" ma:isKeyword="false">
      <xsd:complexType>
        <xsd:sequence>
          <xsd:element ref="pc:Terms" minOccurs="0" maxOccurs="1"/>
        </xsd:sequence>
      </xsd:complexType>
    </xsd:element>
    <xsd:element name="MediaServiceDateTaken" ma:index="26" nillable="true" ma:displayName="MediaServiceDateTaken" ma:hidden="true" ma:internalName="MediaServiceDateTaken" ma:readOnly="true">
      <xsd:simpleType>
        <xsd:restriction base="dms:Text"/>
      </xsd:simpleType>
    </xsd:element>
    <xsd:element name="MediaServiceLocation" ma:index="27" nillable="true" ma:displayName="Location" ma:internalName="MediaServiceLocation" ma:readOnly="true">
      <xsd:simpleType>
        <xsd:restriction base="dms:Text"/>
      </xsd:simpleType>
    </xsd:element>
    <xsd:element name="MediaLengthInSeconds" ma:index="28" nillable="true" ma:displayName="MediaLengthInSeconds" ma:hidden="true" ma:internalName="MediaLengthInSeconds" ma:readOnly="true">
      <xsd:simpleType>
        <xsd:restriction base="dms:Unknown"/>
      </xsd:simpleType>
    </xsd:element>
    <xsd:element name="MediaServiceObjectDetectorVersions" ma:index="29"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30" nillable="true" ma:displayName="MediaServiceSearchProperties" ma:hidden="true" ma:internalName="MediaServiceSearchProperties" ma:readOnly="true">
      <xsd:simpleType>
        <xsd:restriction base="dms:Note"/>
      </xsd:simpleType>
    </xsd:element>
    <xsd:element name="XRITSync" ma:index="31" nillable="true" ma:displayName="XRIT Sync" ma:default="0" ma:format="Dropdown" ma:internalName="XRITSync">
      <xsd:simpleType>
        <xsd:restriction base="dms:Boolean"/>
      </xsd:simpleType>
    </xsd:element>
    <xsd:element name="CBSSync" ma:index="32" nillable="true" ma:displayName="CBS Sync" ma:default="0" ma:format="Dropdown" ma:internalName="CBSSync">
      <xsd:simpleType>
        <xsd:restriction base="dms:Boolean"/>
      </xsd:simpleType>
    </xsd:element>
    <xsd:element name="LastSync" ma:index="33" nillable="true" ma:displayName="LastSync" ma:format="DateTime" ma:internalName="LastSync">
      <xsd:simpleType>
        <xsd:restriction base="dms:DateTime"/>
      </xsd:simpleType>
    </xsd:element>
    <xsd:element name="MediaServiceBillingMetadata" ma:index="34"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flexMigrated xmlns="c903d579-a93e-423b-afeb-06163ef1ee22" xsi:nil="true"/>
    <TaxKeywordTaxHTField xmlns="f60f1a36-0d2a-4c7f-8a8c-89727e9c6c94">
      <Terms xmlns="http://schemas.microsoft.com/office/infopath/2007/PartnerControls"/>
    </TaxKeywordTaxHTField>
    <TaxCatchAll xmlns="f60f1a36-0d2a-4c7f-8a8c-89727e9c6c94" xsi:nil="true"/>
    <lcf76f155ced4ddcb4097134ff3c332f xmlns="c903d579-a93e-423b-afeb-06163ef1ee22">
      <Terms xmlns="http://schemas.microsoft.com/office/infopath/2007/PartnerControls"/>
    </lcf76f155ced4ddcb4097134ff3c332f>
    <LastSync xmlns="c903d579-a93e-423b-afeb-06163ef1ee22" xsi:nil="true"/>
    <CBSSync xmlns="c903d579-a93e-423b-afeb-06163ef1ee22">false</CBSSync>
    <DocumentType xmlns="c903d579-a93e-423b-afeb-06163ef1ee22" xsi:nil="true"/>
    <Comments xmlns="c903d579-a93e-423b-afeb-06163ef1ee22" xsi:nil="true"/>
    <XRITSync xmlns="c903d579-a93e-423b-afeb-06163ef1ee22">false</XRITSync>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BC07A6-E992-47A9-B297-31538A2767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60f1a36-0d2a-4c7f-8a8c-89727e9c6c94"/>
    <ds:schemaRef ds:uri="c903d579-a93e-423b-afeb-06163ef1ee2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C137010-9884-4D5F-9DF1-38218DA6FF81}">
  <ds:schemaRefs>
    <ds:schemaRef ds:uri="http://schemas.microsoft.com/sharepoint/v3/contenttype/forms"/>
  </ds:schemaRefs>
</ds:datastoreItem>
</file>

<file path=customXml/itemProps3.xml><?xml version="1.0" encoding="utf-8"?>
<ds:datastoreItem xmlns:ds="http://schemas.openxmlformats.org/officeDocument/2006/customXml" ds:itemID="{09E70276-1A20-4B25-B576-42B8C489ECBD}">
  <ds:schemaRefs>
    <ds:schemaRef ds:uri="http://schemas.microsoft.com/office/2006/metadata/properties"/>
    <ds:schemaRef ds:uri="http://schemas.microsoft.com/office/infopath/2007/PartnerControls"/>
    <ds:schemaRef ds:uri="c903d579-a93e-423b-afeb-06163ef1ee22"/>
    <ds:schemaRef ds:uri="f60f1a36-0d2a-4c7f-8a8c-89727e9c6c94"/>
  </ds:schemaRefs>
</ds:datastoreItem>
</file>

<file path=customXml/itemProps4.xml><?xml version="1.0" encoding="utf-8"?>
<ds:datastoreItem xmlns:ds="http://schemas.openxmlformats.org/officeDocument/2006/customXml" ds:itemID="{719F446B-5AB5-4889-A8AA-7A41E8C2F4F1}">
  <ds:schemaRefs>
    <ds:schemaRef ds:uri="http://schemas.openxmlformats.org/officeDocument/2006/bibliography"/>
  </ds:schemaRefs>
</ds:datastoreItem>
</file>

<file path=docMetadata/LabelInfo.xml><?xml version="1.0" encoding="utf-8"?>
<clbl:labelList xmlns:clbl="http://schemas.microsoft.com/office/2020/mipLabelMetadata">
  <clbl:label id="{3d0a5a71-aa06-4790-9185-8796f123cf92}" enabled="0" method="" siteId="{3d0a5a71-aa06-4790-9185-8796f123cf92}" removed="1"/>
</clbl:labelList>
</file>

<file path=docProps/app.xml><?xml version="1.0" encoding="utf-8"?>
<Properties xmlns="http://schemas.openxmlformats.org/officeDocument/2006/extended-properties" xmlns:vt="http://schemas.openxmlformats.org/officeDocument/2006/docPropsVTypes">
  <Template>Normal.dotm</Template>
  <TotalTime>16</TotalTime>
  <Pages>13</Pages>
  <Words>3108</Words>
  <Characters>17717</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 Lopez Arias | Aquila Capital</dc:creator>
  <cp:keywords/>
  <dc:description/>
  <cp:lastModifiedBy>Arnoldas Puodžius</cp:lastModifiedBy>
  <cp:revision>3</cp:revision>
  <dcterms:created xsi:type="dcterms:W3CDTF">2025-05-27T08:46:00Z</dcterms:created>
  <dcterms:modified xsi:type="dcterms:W3CDTF">2025-05-27T15:50:00Z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0x010100A866EEA0F1734E4F9BD739034A9DEA08</vt:lpwstr>
  </property>
  <property fmtid="{D5CDD505-2E9C-101B-9397-08002B2CF9AE}" pid="3" name="_dlc_DocIdItemGuid">
    <vt:lpwstr>4825dae7-c0c3-4f6a-a39d-5afed368e62f</vt:lpwstr>
  </property>
  <property fmtid="{D5CDD505-2E9C-101B-9397-08002B2CF9AE}" pid="4" name="TaxKeyword">
    <vt:lpwstr/>
  </property>
  <property fmtid="{D5CDD505-2E9C-101B-9397-08002B2CF9AE}" pid="5" name="MediaServiceImageTags">
    <vt:lpwstr/>
  </property>
</Properties>
</file>